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3559E" w14:textId="0362CA39" w:rsidR="00CF4E35" w:rsidRPr="00F8400F" w:rsidRDefault="007663B2" w:rsidP="00B749C5">
      <w:pPr>
        <w:spacing w:line="360" w:lineRule="auto"/>
        <w:jc w:val="center"/>
        <w:rPr>
          <w:rFonts w:cstheme="minorHAnsi"/>
          <w:b/>
          <w:bCs/>
          <w:sz w:val="22"/>
          <w:szCs w:val="22"/>
        </w:rPr>
      </w:pPr>
      <w:r>
        <w:rPr>
          <w:rFonts w:cstheme="minorHAnsi"/>
          <w:b/>
          <w:bCs/>
          <w:sz w:val="22"/>
          <w:szCs w:val="22"/>
        </w:rPr>
        <w:t>A SHORT HISTORY OF JUDICIAL DIVERSITY</w:t>
      </w:r>
    </w:p>
    <w:p w14:paraId="7E19FC5B" w14:textId="272530A9" w:rsidR="00CF4E35" w:rsidRDefault="007663B2" w:rsidP="00B749C5">
      <w:pPr>
        <w:pBdr>
          <w:bottom w:val="single" w:sz="4" w:space="1" w:color="auto"/>
        </w:pBdr>
        <w:spacing w:line="360" w:lineRule="auto"/>
        <w:jc w:val="center"/>
        <w:rPr>
          <w:rFonts w:cstheme="minorHAnsi"/>
          <w:b/>
          <w:bCs/>
          <w:sz w:val="22"/>
          <w:szCs w:val="22"/>
        </w:rPr>
      </w:pPr>
      <w:r>
        <w:rPr>
          <w:rFonts w:cstheme="minorHAnsi"/>
          <w:b/>
          <w:bCs/>
          <w:sz w:val="22"/>
          <w:szCs w:val="22"/>
        </w:rPr>
        <w:t>ERIKA RACKLEY</w:t>
      </w:r>
      <w:r>
        <w:rPr>
          <w:rStyle w:val="FootnoteReference"/>
          <w:rFonts w:cstheme="minorHAnsi"/>
          <w:b/>
          <w:bCs/>
          <w:sz w:val="22"/>
          <w:szCs w:val="22"/>
        </w:rPr>
        <w:footnoteReference w:customMarkFollows="1" w:id="1"/>
        <w:t>*</w:t>
      </w:r>
    </w:p>
    <w:p w14:paraId="40686A8B" w14:textId="77777777" w:rsidR="007663B2" w:rsidRPr="007663B2" w:rsidRDefault="007663B2" w:rsidP="007663B2">
      <w:pPr>
        <w:pBdr>
          <w:bottom w:val="single" w:sz="4" w:space="1" w:color="auto"/>
        </w:pBdr>
        <w:spacing w:line="360" w:lineRule="auto"/>
        <w:rPr>
          <w:rFonts w:cstheme="minorHAnsi"/>
          <w:b/>
          <w:bCs/>
          <w:sz w:val="22"/>
          <w:szCs w:val="22"/>
        </w:rPr>
      </w:pPr>
    </w:p>
    <w:p w14:paraId="584D2DA8" w14:textId="5372A9AB" w:rsidR="00CF4E35" w:rsidRPr="00B749C5" w:rsidRDefault="00CF4E35" w:rsidP="00CF4E35">
      <w:pPr>
        <w:spacing w:line="360" w:lineRule="auto"/>
        <w:rPr>
          <w:rFonts w:cstheme="minorHAnsi"/>
          <w:b/>
          <w:bCs/>
          <w:sz w:val="22"/>
          <w:szCs w:val="22"/>
        </w:rPr>
      </w:pPr>
    </w:p>
    <w:p w14:paraId="5F772774" w14:textId="489BF6FD" w:rsidR="00B749C5" w:rsidRDefault="00B749C5" w:rsidP="00B749C5">
      <w:pPr>
        <w:spacing w:line="360" w:lineRule="auto"/>
        <w:jc w:val="center"/>
        <w:rPr>
          <w:rFonts w:cstheme="minorHAnsi"/>
          <w:b/>
          <w:bCs/>
          <w:sz w:val="22"/>
          <w:szCs w:val="22"/>
        </w:rPr>
      </w:pPr>
      <w:r>
        <w:rPr>
          <w:rFonts w:cstheme="minorHAnsi"/>
          <w:b/>
          <w:bCs/>
          <w:sz w:val="22"/>
          <w:szCs w:val="22"/>
        </w:rPr>
        <w:t>ABSTRACT</w:t>
      </w:r>
    </w:p>
    <w:p w14:paraId="225F1FBA" w14:textId="77777777" w:rsidR="002842F8" w:rsidRPr="00B749C5" w:rsidRDefault="002842F8" w:rsidP="00B749C5">
      <w:pPr>
        <w:spacing w:line="360" w:lineRule="auto"/>
        <w:jc w:val="center"/>
        <w:rPr>
          <w:rFonts w:cstheme="minorHAnsi"/>
          <w:b/>
          <w:bCs/>
          <w:sz w:val="22"/>
          <w:szCs w:val="22"/>
        </w:rPr>
      </w:pPr>
    </w:p>
    <w:p w14:paraId="65964912" w14:textId="54F8861D" w:rsidR="00166B2A" w:rsidRDefault="00B749C5" w:rsidP="00AB2337">
      <w:pPr>
        <w:spacing w:line="360" w:lineRule="auto"/>
        <w:rPr>
          <w:rFonts w:cstheme="minorHAnsi"/>
          <w:sz w:val="22"/>
          <w:szCs w:val="22"/>
        </w:rPr>
      </w:pPr>
      <w:r>
        <w:rPr>
          <w:rFonts w:cstheme="minorHAnsi"/>
          <w:sz w:val="22"/>
          <w:szCs w:val="22"/>
        </w:rPr>
        <w:t>Judicial diversity is a priority without priority. Whil</w:t>
      </w:r>
      <w:r w:rsidRPr="00B749C5">
        <w:rPr>
          <w:rFonts w:cstheme="minorHAnsi"/>
          <w:sz w:val="22"/>
          <w:szCs w:val="22"/>
        </w:rPr>
        <w:t xml:space="preserve">e few would argue, openly at least, against a more diverse judiciary in principle, there is still some way to go to make it a reality. </w:t>
      </w:r>
      <w:r w:rsidR="00FC7B3F">
        <w:rPr>
          <w:rFonts w:cstheme="minorHAnsi"/>
          <w:sz w:val="22"/>
          <w:szCs w:val="22"/>
        </w:rPr>
        <w:t>And y</w:t>
      </w:r>
      <w:r w:rsidRPr="00B749C5">
        <w:rPr>
          <w:rFonts w:cstheme="minorHAnsi"/>
          <w:sz w:val="22"/>
          <w:szCs w:val="22"/>
        </w:rPr>
        <w:t>et, despite the</w:t>
      </w:r>
      <w:r w:rsidR="00B66435">
        <w:rPr>
          <w:rFonts w:cstheme="minorHAnsi"/>
          <w:sz w:val="22"/>
          <w:szCs w:val="22"/>
        </w:rPr>
        <w:t xml:space="preserve"> </w:t>
      </w:r>
      <w:r w:rsidRPr="00B749C5">
        <w:rPr>
          <w:rFonts w:cstheme="minorHAnsi"/>
          <w:sz w:val="22"/>
          <w:szCs w:val="22"/>
        </w:rPr>
        <w:t>slow rate of progress, reigniting conversations about diversity may seem unwise in the current political moment, raising the question of whether those seeking to achieve a truly diverse judiciary have anywhere (new) to go.</w:t>
      </w:r>
      <w:r w:rsidR="00DA2DE3">
        <w:rPr>
          <w:rFonts w:cstheme="minorHAnsi"/>
          <w:sz w:val="22"/>
          <w:szCs w:val="22"/>
        </w:rPr>
        <w:t xml:space="preserve"> We seem to have reached an impasse. </w:t>
      </w:r>
      <w:r w:rsidRPr="00B749C5">
        <w:rPr>
          <w:rFonts w:cstheme="minorHAnsi"/>
          <w:sz w:val="22"/>
          <w:szCs w:val="22"/>
        </w:rPr>
        <w:t xml:space="preserve">This </w:t>
      </w:r>
      <w:r>
        <w:rPr>
          <w:rFonts w:cstheme="minorHAnsi"/>
          <w:sz w:val="22"/>
          <w:szCs w:val="22"/>
        </w:rPr>
        <w:t>article</w:t>
      </w:r>
      <w:r w:rsidRPr="00B749C5">
        <w:rPr>
          <w:rFonts w:cstheme="minorHAnsi"/>
          <w:sz w:val="22"/>
          <w:szCs w:val="22"/>
        </w:rPr>
        <w:t xml:space="preserve"> brings the insights of feminist legal history to bear on arguments for judicial diversity. </w:t>
      </w:r>
      <w:r w:rsidR="00895641">
        <w:rPr>
          <w:rFonts w:cstheme="minorHAnsi"/>
          <w:sz w:val="22"/>
          <w:szCs w:val="22"/>
        </w:rPr>
        <w:t xml:space="preserve">Drawing on original archival research, </w:t>
      </w:r>
      <w:r w:rsidR="00F02CBC">
        <w:rPr>
          <w:rFonts w:cstheme="minorHAnsi"/>
          <w:sz w:val="22"/>
          <w:szCs w:val="22"/>
        </w:rPr>
        <w:t>it focuses</w:t>
      </w:r>
      <w:r w:rsidR="00895641">
        <w:rPr>
          <w:rFonts w:cstheme="minorHAnsi"/>
          <w:sz w:val="22"/>
          <w:szCs w:val="22"/>
        </w:rPr>
        <w:t xml:space="preserve"> on</w:t>
      </w:r>
      <w:r w:rsidR="009A313D">
        <w:rPr>
          <w:rFonts w:cstheme="minorHAnsi"/>
          <w:sz w:val="22"/>
          <w:szCs w:val="22"/>
        </w:rPr>
        <w:t xml:space="preserve"> the establishment of the </w:t>
      </w:r>
      <w:r w:rsidR="002F6C1A">
        <w:rPr>
          <w:rFonts w:cstheme="minorHAnsi"/>
          <w:sz w:val="22"/>
          <w:szCs w:val="22"/>
        </w:rPr>
        <w:t>I</w:t>
      </w:r>
      <w:r w:rsidR="009A313D">
        <w:rPr>
          <w:rFonts w:cstheme="minorHAnsi"/>
          <w:sz w:val="22"/>
          <w:szCs w:val="22"/>
        </w:rPr>
        <w:t xml:space="preserve">ndustrial </w:t>
      </w:r>
      <w:r w:rsidR="002F6C1A">
        <w:rPr>
          <w:rFonts w:cstheme="minorHAnsi"/>
          <w:sz w:val="22"/>
          <w:szCs w:val="22"/>
        </w:rPr>
        <w:t>C</w:t>
      </w:r>
      <w:r w:rsidR="009A313D">
        <w:rPr>
          <w:rFonts w:cstheme="minorHAnsi"/>
          <w:sz w:val="22"/>
          <w:szCs w:val="22"/>
        </w:rPr>
        <w:t>ourt in 1919</w:t>
      </w:r>
      <w:r w:rsidR="00B113CC">
        <w:rPr>
          <w:rFonts w:cstheme="minorHAnsi"/>
          <w:sz w:val="22"/>
          <w:szCs w:val="22"/>
        </w:rPr>
        <w:t xml:space="preserve"> and </w:t>
      </w:r>
      <w:r w:rsidR="00923DBC">
        <w:rPr>
          <w:rFonts w:cstheme="minorHAnsi"/>
          <w:sz w:val="22"/>
          <w:szCs w:val="22"/>
        </w:rPr>
        <w:t>tells</w:t>
      </w:r>
      <w:r w:rsidR="00B113CC">
        <w:rPr>
          <w:rFonts w:cstheme="minorHAnsi"/>
          <w:sz w:val="22"/>
          <w:szCs w:val="22"/>
        </w:rPr>
        <w:t>,</w:t>
      </w:r>
      <w:r w:rsidR="00923DBC">
        <w:rPr>
          <w:rFonts w:cstheme="minorHAnsi"/>
          <w:sz w:val="22"/>
          <w:szCs w:val="22"/>
        </w:rPr>
        <w:t xml:space="preserve"> for the first time</w:t>
      </w:r>
      <w:r w:rsidR="00B113CC">
        <w:rPr>
          <w:rFonts w:cstheme="minorHAnsi"/>
          <w:sz w:val="22"/>
          <w:szCs w:val="22"/>
        </w:rPr>
        <w:t>,</w:t>
      </w:r>
      <w:r w:rsidR="00923DBC">
        <w:rPr>
          <w:rFonts w:cstheme="minorHAnsi"/>
          <w:sz w:val="22"/>
          <w:szCs w:val="22"/>
        </w:rPr>
        <w:t xml:space="preserve"> how there came to be statutory </w:t>
      </w:r>
      <w:proofErr w:type="gramStart"/>
      <w:r w:rsidR="00923DBC">
        <w:rPr>
          <w:rFonts w:cstheme="minorHAnsi"/>
          <w:sz w:val="22"/>
          <w:szCs w:val="22"/>
        </w:rPr>
        <w:t>requirement</w:t>
      </w:r>
      <w:r w:rsidR="00DB7158">
        <w:rPr>
          <w:rFonts w:cstheme="minorHAnsi"/>
          <w:sz w:val="22"/>
          <w:szCs w:val="22"/>
        </w:rPr>
        <w:t xml:space="preserve"> </w:t>
      </w:r>
      <w:r w:rsidR="00923DBC">
        <w:rPr>
          <w:rFonts w:cstheme="minorHAnsi"/>
          <w:sz w:val="22"/>
          <w:szCs w:val="22"/>
        </w:rPr>
        <w:t xml:space="preserve"> for</w:t>
      </w:r>
      <w:proofErr w:type="gramEnd"/>
      <w:r w:rsidR="00923DBC">
        <w:rPr>
          <w:rFonts w:cstheme="minorHAnsi"/>
          <w:sz w:val="22"/>
          <w:szCs w:val="22"/>
        </w:rPr>
        <w:t xml:space="preserve"> women’s presence on </w:t>
      </w:r>
      <w:r w:rsidR="0002057B">
        <w:rPr>
          <w:rFonts w:cstheme="minorHAnsi"/>
          <w:sz w:val="22"/>
          <w:szCs w:val="22"/>
        </w:rPr>
        <w:t>the</w:t>
      </w:r>
      <w:r w:rsidR="00923DBC">
        <w:rPr>
          <w:rFonts w:cstheme="minorHAnsi"/>
          <w:sz w:val="22"/>
          <w:szCs w:val="22"/>
        </w:rPr>
        <w:t xml:space="preserve"> court</w:t>
      </w:r>
      <w:r w:rsidR="0002057B">
        <w:rPr>
          <w:rFonts w:cstheme="minorHAnsi"/>
          <w:sz w:val="22"/>
          <w:szCs w:val="22"/>
        </w:rPr>
        <w:t xml:space="preserve">. </w:t>
      </w:r>
      <w:r w:rsidR="00B64F48">
        <w:rPr>
          <w:rFonts w:cstheme="minorHAnsi"/>
          <w:sz w:val="22"/>
          <w:szCs w:val="22"/>
        </w:rPr>
        <w:t>It argues that the</w:t>
      </w:r>
      <w:r w:rsidR="00AB2337">
        <w:rPr>
          <w:rFonts w:cstheme="minorHAnsi"/>
          <w:sz w:val="22"/>
          <w:szCs w:val="22"/>
        </w:rPr>
        <w:t xml:space="preserve"> quality argument for diversity</w:t>
      </w:r>
      <w:r w:rsidR="00B64F48">
        <w:rPr>
          <w:rFonts w:cstheme="minorHAnsi"/>
          <w:sz w:val="22"/>
          <w:szCs w:val="22"/>
        </w:rPr>
        <w:t xml:space="preserve"> – </w:t>
      </w:r>
      <w:r w:rsidR="00AB2337">
        <w:rPr>
          <w:rFonts w:cstheme="minorHAnsi"/>
          <w:sz w:val="22"/>
          <w:szCs w:val="22"/>
        </w:rPr>
        <w:t xml:space="preserve">that </w:t>
      </w:r>
      <w:r w:rsidR="002F6C1A">
        <w:rPr>
          <w:rFonts w:cstheme="minorHAnsi"/>
          <w:sz w:val="22"/>
          <w:szCs w:val="22"/>
        </w:rPr>
        <w:t>a</w:t>
      </w:r>
      <w:r w:rsidR="00AB2337">
        <w:rPr>
          <w:rFonts w:cstheme="minorHAnsi"/>
          <w:sz w:val="22"/>
          <w:szCs w:val="22"/>
        </w:rPr>
        <w:t xml:space="preserve"> court </w:t>
      </w:r>
      <w:r w:rsidR="002F6C1A">
        <w:rPr>
          <w:rFonts w:cstheme="minorHAnsi"/>
          <w:sz w:val="22"/>
          <w:szCs w:val="22"/>
        </w:rPr>
        <w:t>is</w:t>
      </w:r>
      <w:r w:rsidR="00AB2337">
        <w:rPr>
          <w:rFonts w:cstheme="minorHAnsi"/>
          <w:sz w:val="22"/>
          <w:szCs w:val="22"/>
        </w:rPr>
        <w:t xml:space="preserve"> </w:t>
      </w:r>
      <w:r w:rsidR="00B64F48">
        <w:rPr>
          <w:rFonts w:cstheme="minorHAnsi"/>
          <w:sz w:val="22"/>
          <w:szCs w:val="22"/>
        </w:rPr>
        <w:t>stronger</w:t>
      </w:r>
      <w:r w:rsidR="00AB2337">
        <w:rPr>
          <w:rFonts w:cstheme="minorHAnsi"/>
          <w:sz w:val="22"/>
          <w:szCs w:val="22"/>
        </w:rPr>
        <w:t xml:space="preserve"> and its decision-making </w:t>
      </w:r>
      <w:r w:rsidR="00B64F48">
        <w:rPr>
          <w:rFonts w:cstheme="minorHAnsi"/>
          <w:sz w:val="22"/>
          <w:szCs w:val="22"/>
        </w:rPr>
        <w:t>better</w:t>
      </w:r>
      <w:r w:rsidR="00AB2337">
        <w:rPr>
          <w:rFonts w:cstheme="minorHAnsi"/>
          <w:sz w:val="22"/>
          <w:szCs w:val="22"/>
        </w:rPr>
        <w:t xml:space="preserve"> for the inclusion of women </w:t>
      </w:r>
      <w:r w:rsidR="00B64F48">
        <w:rPr>
          <w:rFonts w:cstheme="minorHAnsi"/>
          <w:sz w:val="22"/>
          <w:szCs w:val="22"/>
        </w:rPr>
        <w:t>among</w:t>
      </w:r>
      <w:r w:rsidR="00AB2337">
        <w:rPr>
          <w:rFonts w:cstheme="minorHAnsi"/>
          <w:sz w:val="22"/>
          <w:szCs w:val="22"/>
        </w:rPr>
        <w:t xml:space="preserve"> its members</w:t>
      </w:r>
      <w:r w:rsidR="00B64F48">
        <w:rPr>
          <w:rFonts w:cstheme="minorHAnsi"/>
          <w:sz w:val="22"/>
          <w:szCs w:val="22"/>
        </w:rPr>
        <w:t xml:space="preserve"> – was central to </w:t>
      </w:r>
      <w:r w:rsidR="002F6C1A">
        <w:rPr>
          <w:rFonts w:cstheme="minorHAnsi"/>
          <w:sz w:val="22"/>
          <w:szCs w:val="22"/>
        </w:rPr>
        <w:t>this</w:t>
      </w:r>
      <w:r w:rsidR="00B64F48">
        <w:rPr>
          <w:rFonts w:cstheme="minorHAnsi"/>
          <w:sz w:val="22"/>
          <w:szCs w:val="22"/>
        </w:rPr>
        <w:t xml:space="preserve"> success</w:t>
      </w:r>
      <w:r w:rsidR="0002057B">
        <w:rPr>
          <w:rFonts w:cstheme="minorHAnsi"/>
          <w:sz w:val="22"/>
          <w:szCs w:val="22"/>
        </w:rPr>
        <w:t>.</w:t>
      </w:r>
      <w:r w:rsidR="00B64F48">
        <w:rPr>
          <w:rFonts w:cstheme="minorHAnsi"/>
          <w:sz w:val="22"/>
          <w:szCs w:val="22"/>
        </w:rPr>
        <w:t xml:space="preserve"> </w:t>
      </w:r>
      <w:r w:rsidR="003E23F3">
        <w:rPr>
          <w:rFonts w:cstheme="minorHAnsi"/>
          <w:sz w:val="22"/>
          <w:szCs w:val="22"/>
        </w:rPr>
        <w:t xml:space="preserve">It goes on to </w:t>
      </w:r>
      <w:r w:rsidR="002F6C1A">
        <w:rPr>
          <w:rFonts w:cstheme="minorHAnsi"/>
          <w:sz w:val="22"/>
          <w:szCs w:val="22"/>
        </w:rPr>
        <w:t xml:space="preserve">argue that in </w:t>
      </w:r>
      <w:r w:rsidR="0002057B">
        <w:rPr>
          <w:rFonts w:cstheme="minorHAnsi"/>
          <w:sz w:val="22"/>
          <w:szCs w:val="22"/>
        </w:rPr>
        <w:t>unsettl</w:t>
      </w:r>
      <w:r w:rsidR="002F6C1A">
        <w:rPr>
          <w:rFonts w:cstheme="minorHAnsi"/>
          <w:sz w:val="22"/>
          <w:szCs w:val="22"/>
        </w:rPr>
        <w:t>ing</w:t>
      </w:r>
      <w:r w:rsidR="0002057B">
        <w:rPr>
          <w:rFonts w:cstheme="minorHAnsi"/>
          <w:sz w:val="22"/>
          <w:szCs w:val="22"/>
        </w:rPr>
        <w:t xml:space="preserve"> </w:t>
      </w:r>
      <w:r w:rsidR="00A52F87">
        <w:rPr>
          <w:rFonts w:cstheme="minorHAnsi"/>
          <w:sz w:val="22"/>
          <w:szCs w:val="22"/>
        </w:rPr>
        <w:t>deep</w:t>
      </w:r>
      <w:r w:rsidR="0002057B">
        <w:rPr>
          <w:rFonts w:cstheme="minorHAnsi"/>
          <w:sz w:val="22"/>
          <w:szCs w:val="22"/>
        </w:rPr>
        <w:t xml:space="preserve">-seat </w:t>
      </w:r>
      <w:r w:rsidR="00A52F87">
        <w:rPr>
          <w:rFonts w:cstheme="minorHAnsi"/>
          <w:sz w:val="22"/>
          <w:szCs w:val="22"/>
        </w:rPr>
        <w:t>assumption</w:t>
      </w:r>
      <w:r w:rsidR="0002057B">
        <w:rPr>
          <w:rFonts w:cstheme="minorHAnsi"/>
          <w:sz w:val="22"/>
          <w:szCs w:val="22"/>
        </w:rPr>
        <w:t xml:space="preserve">s particularly around </w:t>
      </w:r>
      <w:r w:rsidR="00BE19C5">
        <w:rPr>
          <w:rFonts w:cstheme="minorHAnsi"/>
          <w:sz w:val="22"/>
          <w:szCs w:val="22"/>
        </w:rPr>
        <w:t>arguments for the imposition of q</w:t>
      </w:r>
      <w:r w:rsidR="0002057B">
        <w:rPr>
          <w:rFonts w:cstheme="minorHAnsi"/>
          <w:sz w:val="22"/>
          <w:szCs w:val="22"/>
        </w:rPr>
        <w:t>uotas</w:t>
      </w:r>
      <w:r w:rsidR="00B64F48">
        <w:rPr>
          <w:rFonts w:cstheme="minorHAnsi"/>
          <w:sz w:val="22"/>
          <w:szCs w:val="22"/>
        </w:rPr>
        <w:t>,</w:t>
      </w:r>
      <w:r w:rsidR="002F6C1A">
        <w:rPr>
          <w:rFonts w:cstheme="minorHAnsi"/>
          <w:sz w:val="22"/>
          <w:szCs w:val="22"/>
        </w:rPr>
        <w:t xml:space="preserve"> the history of the Industrial Court, and feminist legal history more generally, offers a way out of the impasse and a </w:t>
      </w:r>
      <w:r w:rsidR="0002057B">
        <w:rPr>
          <w:rFonts w:cstheme="minorHAnsi"/>
          <w:sz w:val="22"/>
          <w:szCs w:val="22"/>
        </w:rPr>
        <w:t xml:space="preserve">reason to keep talking about judicial diversity. </w:t>
      </w:r>
      <w:r w:rsidR="002842F8">
        <w:rPr>
          <w:rFonts w:cstheme="minorHAnsi"/>
          <w:sz w:val="22"/>
          <w:szCs w:val="22"/>
        </w:rPr>
        <w:t xml:space="preserve">This is important. </w:t>
      </w:r>
      <w:r w:rsidR="00AB2337">
        <w:rPr>
          <w:rFonts w:cstheme="minorHAnsi"/>
          <w:sz w:val="22"/>
          <w:szCs w:val="22"/>
        </w:rPr>
        <w:t xml:space="preserve">For it is only by doing so </w:t>
      </w:r>
      <w:r w:rsidR="00507B62">
        <w:rPr>
          <w:rFonts w:cstheme="minorHAnsi"/>
          <w:sz w:val="22"/>
          <w:szCs w:val="22"/>
        </w:rPr>
        <w:t>that</w:t>
      </w:r>
      <w:r w:rsidR="00AB2337">
        <w:rPr>
          <w:rFonts w:cstheme="minorHAnsi"/>
          <w:sz w:val="22"/>
          <w:szCs w:val="22"/>
        </w:rPr>
        <w:t xml:space="preserve"> we have any chance of securing a judiciary that is truly diverse.</w:t>
      </w:r>
    </w:p>
    <w:p w14:paraId="06E4C153" w14:textId="10D939D0" w:rsidR="00F02CBC" w:rsidRDefault="00F02CBC" w:rsidP="00CF4E35">
      <w:pPr>
        <w:spacing w:line="360" w:lineRule="auto"/>
        <w:rPr>
          <w:rFonts w:cstheme="minorHAnsi"/>
          <w:sz w:val="22"/>
          <w:szCs w:val="22"/>
        </w:rPr>
      </w:pPr>
    </w:p>
    <w:p w14:paraId="059CD8D9" w14:textId="53B381ED" w:rsidR="00F02CBC" w:rsidRDefault="00F02CBC" w:rsidP="00F02CBC">
      <w:pPr>
        <w:spacing w:line="360" w:lineRule="auto"/>
        <w:jc w:val="center"/>
        <w:rPr>
          <w:rFonts w:cstheme="minorHAnsi"/>
          <w:b/>
          <w:bCs/>
          <w:sz w:val="22"/>
          <w:szCs w:val="22"/>
        </w:rPr>
      </w:pPr>
      <w:r w:rsidRPr="00F02CBC">
        <w:rPr>
          <w:rFonts w:cstheme="minorHAnsi"/>
          <w:b/>
          <w:bCs/>
          <w:sz w:val="22"/>
          <w:szCs w:val="22"/>
        </w:rPr>
        <w:t>KEYWORDS</w:t>
      </w:r>
    </w:p>
    <w:p w14:paraId="288C3C23" w14:textId="77777777" w:rsidR="00F02CBC" w:rsidRDefault="00F02CBC" w:rsidP="00F02CBC">
      <w:pPr>
        <w:spacing w:line="360" w:lineRule="auto"/>
        <w:jc w:val="center"/>
        <w:rPr>
          <w:rFonts w:cstheme="minorHAnsi"/>
          <w:sz w:val="22"/>
          <w:szCs w:val="22"/>
        </w:rPr>
      </w:pPr>
    </w:p>
    <w:p w14:paraId="788B9DED" w14:textId="5A2BBE34" w:rsidR="00F02CBC" w:rsidRDefault="002842F8" w:rsidP="00CF4E35">
      <w:pPr>
        <w:spacing w:line="360" w:lineRule="auto"/>
        <w:rPr>
          <w:rFonts w:cstheme="minorHAnsi"/>
          <w:sz w:val="22"/>
          <w:szCs w:val="22"/>
        </w:rPr>
      </w:pPr>
      <w:r>
        <w:rPr>
          <w:rFonts w:cstheme="minorHAnsi"/>
          <w:sz w:val="22"/>
          <w:szCs w:val="22"/>
        </w:rPr>
        <w:t xml:space="preserve"> </w:t>
      </w:r>
      <w:r w:rsidR="00F02CBC">
        <w:rPr>
          <w:rFonts w:cstheme="minorHAnsi"/>
          <w:sz w:val="22"/>
          <w:szCs w:val="22"/>
        </w:rPr>
        <w:t>feminist legal history, industrial court,</w:t>
      </w:r>
      <w:r>
        <w:rPr>
          <w:rFonts w:cstheme="minorHAnsi"/>
          <w:sz w:val="22"/>
          <w:szCs w:val="22"/>
        </w:rPr>
        <w:t xml:space="preserve"> Industrial Courts Act 1919</w:t>
      </w:r>
      <w:r w:rsidR="003E23F3">
        <w:rPr>
          <w:rFonts w:cstheme="minorHAnsi"/>
          <w:sz w:val="22"/>
          <w:szCs w:val="22"/>
        </w:rPr>
        <w:t>,</w:t>
      </w:r>
      <w:r w:rsidR="00F02CBC">
        <w:rPr>
          <w:rFonts w:cstheme="minorHAnsi"/>
          <w:sz w:val="22"/>
          <w:szCs w:val="22"/>
        </w:rPr>
        <w:t xml:space="preserve"> judicial diversity, quotas</w:t>
      </w:r>
      <w:r w:rsidR="002F6C1A">
        <w:rPr>
          <w:rFonts w:cstheme="minorHAnsi"/>
          <w:sz w:val="22"/>
          <w:szCs w:val="22"/>
        </w:rPr>
        <w:t>, women judges</w:t>
      </w:r>
    </w:p>
    <w:p w14:paraId="169E1F48" w14:textId="77777777" w:rsidR="002C34EB" w:rsidRDefault="002C34EB" w:rsidP="00CF4E35">
      <w:pPr>
        <w:spacing w:line="360" w:lineRule="auto"/>
        <w:rPr>
          <w:rFonts w:cstheme="minorHAnsi"/>
          <w:sz w:val="22"/>
          <w:szCs w:val="22"/>
        </w:rPr>
      </w:pPr>
    </w:p>
    <w:p w14:paraId="78E04409" w14:textId="77777777" w:rsidR="00B749C5" w:rsidRPr="00F8400F" w:rsidRDefault="00B749C5" w:rsidP="00CF4E35">
      <w:pPr>
        <w:spacing w:line="360" w:lineRule="auto"/>
        <w:rPr>
          <w:rFonts w:cstheme="minorHAnsi"/>
          <w:sz w:val="22"/>
          <w:szCs w:val="22"/>
        </w:rPr>
      </w:pPr>
    </w:p>
    <w:p w14:paraId="384781FC" w14:textId="433D708A" w:rsidR="000E79D2" w:rsidRPr="00904504" w:rsidRDefault="00904504" w:rsidP="00904504">
      <w:pPr>
        <w:spacing w:line="360" w:lineRule="auto"/>
        <w:jc w:val="center"/>
        <w:rPr>
          <w:rFonts w:cstheme="minorHAnsi"/>
          <w:sz w:val="22"/>
          <w:szCs w:val="22"/>
        </w:rPr>
      </w:pPr>
      <w:r>
        <w:rPr>
          <w:rFonts w:cstheme="minorHAnsi"/>
          <w:b/>
          <w:bCs/>
          <w:sz w:val="22"/>
          <w:szCs w:val="22"/>
        </w:rPr>
        <w:t xml:space="preserve">I. </w:t>
      </w:r>
      <w:r w:rsidR="00846AEC" w:rsidRPr="00904504">
        <w:rPr>
          <w:rFonts w:cstheme="minorHAnsi"/>
          <w:b/>
          <w:bCs/>
          <w:sz w:val="22"/>
          <w:szCs w:val="22"/>
        </w:rPr>
        <w:t>PROLOGUE</w:t>
      </w:r>
    </w:p>
    <w:p w14:paraId="491F4BED" w14:textId="4CDF70B9" w:rsidR="00F80EE4" w:rsidRDefault="00F80EE4" w:rsidP="00E80E0E">
      <w:pPr>
        <w:spacing w:line="360" w:lineRule="auto"/>
        <w:rPr>
          <w:rFonts w:cstheme="minorHAnsi"/>
          <w:sz w:val="22"/>
          <w:szCs w:val="22"/>
        </w:rPr>
      </w:pPr>
      <w:r w:rsidRPr="00E21CA5">
        <w:rPr>
          <w:rFonts w:cstheme="minorHAnsi"/>
          <w:i/>
          <w:iCs/>
          <w:sz w:val="22"/>
          <w:szCs w:val="22"/>
        </w:rPr>
        <w:t>The Little Mermaid</w:t>
      </w:r>
      <w:r>
        <w:rPr>
          <w:rFonts w:cstheme="minorHAnsi"/>
          <w:sz w:val="22"/>
          <w:szCs w:val="22"/>
        </w:rPr>
        <w:t>, written by Hans Christian Andersen,</w:t>
      </w:r>
      <w:r w:rsidRPr="00F80EE4">
        <w:rPr>
          <w:rFonts w:cstheme="minorHAnsi"/>
          <w:sz w:val="22"/>
          <w:szCs w:val="22"/>
        </w:rPr>
        <w:t xml:space="preserve"> is the story of six sisters who live far out in the ocean with their father, the Sea-King, and their grandmother</w:t>
      </w:r>
      <w:r w:rsidR="00E21CA5">
        <w:rPr>
          <w:rFonts w:cstheme="minorHAnsi"/>
          <w:sz w:val="22"/>
          <w:szCs w:val="22"/>
        </w:rPr>
        <w:t>. Their grandmother is</w:t>
      </w:r>
      <w:r w:rsidRPr="00F80EE4">
        <w:rPr>
          <w:rFonts w:cstheme="minorHAnsi"/>
          <w:sz w:val="22"/>
          <w:szCs w:val="22"/>
        </w:rPr>
        <w:t xml:space="preserve"> ‘very wise</w:t>
      </w:r>
      <w:r w:rsidR="00E21CA5">
        <w:rPr>
          <w:rFonts w:cstheme="minorHAnsi"/>
          <w:sz w:val="22"/>
          <w:szCs w:val="22"/>
        </w:rPr>
        <w:t>’ and</w:t>
      </w:r>
      <w:r w:rsidRPr="00F80EE4">
        <w:rPr>
          <w:rFonts w:cstheme="minorHAnsi"/>
          <w:sz w:val="22"/>
          <w:szCs w:val="22"/>
        </w:rPr>
        <w:t xml:space="preserve"> </w:t>
      </w:r>
      <w:r w:rsidRPr="00F80EE4">
        <w:rPr>
          <w:rFonts w:cstheme="minorHAnsi"/>
          <w:sz w:val="22"/>
          <w:szCs w:val="22"/>
        </w:rPr>
        <w:lastRenderedPageBreak/>
        <w:t xml:space="preserve">encourages her </w:t>
      </w:r>
      <w:proofErr w:type="gramStart"/>
      <w:r w:rsidRPr="00F80EE4">
        <w:rPr>
          <w:rFonts w:cstheme="minorHAnsi"/>
          <w:sz w:val="22"/>
          <w:szCs w:val="22"/>
        </w:rPr>
        <w:t>grand-daughters</w:t>
      </w:r>
      <w:proofErr w:type="gramEnd"/>
      <w:r w:rsidRPr="00F80EE4">
        <w:rPr>
          <w:rFonts w:cstheme="minorHAnsi"/>
          <w:sz w:val="22"/>
          <w:szCs w:val="22"/>
        </w:rPr>
        <w:t xml:space="preserve"> to explore the wonder and beauty of the ‘lands above the sea’.</w:t>
      </w:r>
      <w:r w:rsidR="00FC7B3F">
        <w:rPr>
          <w:rStyle w:val="FootnoteReference"/>
          <w:rFonts w:cstheme="minorHAnsi"/>
          <w:sz w:val="22"/>
          <w:szCs w:val="22"/>
        </w:rPr>
        <w:footnoteReference w:id="2"/>
      </w:r>
      <w:r w:rsidRPr="00F80EE4">
        <w:rPr>
          <w:rFonts w:cstheme="minorHAnsi"/>
          <w:sz w:val="22"/>
          <w:szCs w:val="22"/>
        </w:rPr>
        <w:t xml:space="preserve">  As they each turn 15 the princesses </w:t>
      </w:r>
      <w:r w:rsidR="003E59D5">
        <w:rPr>
          <w:rFonts w:cstheme="minorHAnsi"/>
          <w:sz w:val="22"/>
          <w:szCs w:val="22"/>
        </w:rPr>
        <w:t>journey to the surface of the sea</w:t>
      </w:r>
      <w:r w:rsidRPr="00F80EE4">
        <w:rPr>
          <w:rFonts w:cstheme="minorHAnsi"/>
          <w:sz w:val="22"/>
          <w:szCs w:val="22"/>
        </w:rPr>
        <w:t xml:space="preserve">, returning to tell their sisters what they saw. </w:t>
      </w:r>
      <w:r w:rsidR="00EE6EA1">
        <w:rPr>
          <w:rFonts w:cstheme="minorHAnsi"/>
          <w:sz w:val="22"/>
          <w:szCs w:val="22"/>
        </w:rPr>
        <w:t>For</w:t>
      </w:r>
      <w:r w:rsidRPr="00F80EE4">
        <w:rPr>
          <w:rFonts w:cstheme="minorHAnsi"/>
          <w:sz w:val="22"/>
          <w:szCs w:val="22"/>
        </w:rPr>
        <w:t xml:space="preserve"> most of the sisters the novelty soon wears off</w:t>
      </w:r>
      <w:r w:rsidR="00501366">
        <w:rPr>
          <w:rFonts w:cstheme="minorHAnsi"/>
          <w:sz w:val="22"/>
          <w:szCs w:val="22"/>
        </w:rPr>
        <w:t xml:space="preserve"> and they are happy to stay beneath the sea</w:t>
      </w:r>
      <w:r w:rsidR="00EE6EA1">
        <w:rPr>
          <w:rFonts w:cstheme="minorHAnsi"/>
          <w:sz w:val="22"/>
          <w:szCs w:val="22"/>
        </w:rPr>
        <w:t xml:space="preserve">. However, </w:t>
      </w:r>
      <w:r w:rsidRPr="00F80EE4">
        <w:rPr>
          <w:rFonts w:cstheme="minorHAnsi"/>
          <w:sz w:val="22"/>
          <w:szCs w:val="22"/>
        </w:rPr>
        <w:t xml:space="preserve">this is not the case for the youngest sister, </w:t>
      </w:r>
      <w:r w:rsidR="00605F2C">
        <w:rPr>
          <w:rFonts w:cstheme="minorHAnsi"/>
          <w:sz w:val="22"/>
          <w:szCs w:val="22"/>
        </w:rPr>
        <w:t>known as ‘</w:t>
      </w:r>
      <w:r w:rsidRPr="00F80EE4">
        <w:rPr>
          <w:rFonts w:cstheme="minorHAnsi"/>
          <w:sz w:val="22"/>
          <w:szCs w:val="22"/>
        </w:rPr>
        <w:t>the little mermaid</w:t>
      </w:r>
      <w:r w:rsidR="00605F2C">
        <w:rPr>
          <w:rFonts w:cstheme="minorHAnsi"/>
          <w:sz w:val="22"/>
          <w:szCs w:val="22"/>
        </w:rPr>
        <w:t>’</w:t>
      </w:r>
      <w:r w:rsidRPr="00F80EE4">
        <w:rPr>
          <w:rFonts w:cstheme="minorHAnsi"/>
          <w:sz w:val="22"/>
          <w:szCs w:val="22"/>
        </w:rPr>
        <w:t xml:space="preserve">. </w:t>
      </w:r>
      <w:r w:rsidR="00DB7158">
        <w:rPr>
          <w:rFonts w:cstheme="minorHAnsi"/>
          <w:sz w:val="22"/>
          <w:szCs w:val="22"/>
        </w:rPr>
        <w:t>S</w:t>
      </w:r>
      <w:r w:rsidRPr="00F80EE4">
        <w:rPr>
          <w:rFonts w:cstheme="minorHAnsi"/>
          <w:sz w:val="22"/>
          <w:szCs w:val="22"/>
        </w:rPr>
        <w:t xml:space="preserve">he has a reason to want to continue to </w:t>
      </w:r>
      <w:r w:rsidR="003E59D5">
        <w:rPr>
          <w:rFonts w:cstheme="minorHAnsi"/>
          <w:sz w:val="22"/>
          <w:szCs w:val="22"/>
        </w:rPr>
        <w:t xml:space="preserve">visit the new lands: </w:t>
      </w:r>
      <w:r w:rsidRPr="00F80EE4">
        <w:rPr>
          <w:rFonts w:cstheme="minorHAnsi"/>
          <w:sz w:val="22"/>
          <w:szCs w:val="22"/>
        </w:rPr>
        <w:t xml:space="preserve">she has fallen in love. When she finally tells her sisters, it is they who find out where the prince lives so that the little mermaid can </w:t>
      </w:r>
      <w:r w:rsidR="00501366">
        <w:rPr>
          <w:rFonts w:cstheme="minorHAnsi"/>
          <w:sz w:val="22"/>
          <w:szCs w:val="22"/>
        </w:rPr>
        <w:t>watch him from afar</w:t>
      </w:r>
      <w:r w:rsidRPr="00F80EE4">
        <w:rPr>
          <w:rFonts w:cstheme="minorHAnsi"/>
          <w:sz w:val="22"/>
          <w:szCs w:val="22"/>
        </w:rPr>
        <w:t xml:space="preserve">. When </w:t>
      </w:r>
      <w:r w:rsidR="00501366">
        <w:rPr>
          <w:rFonts w:cstheme="minorHAnsi"/>
          <w:sz w:val="22"/>
          <w:szCs w:val="22"/>
        </w:rPr>
        <w:t xml:space="preserve">she decides to sell her voice so that she can </w:t>
      </w:r>
      <w:r w:rsidR="000E79D2">
        <w:rPr>
          <w:rFonts w:cstheme="minorHAnsi"/>
          <w:sz w:val="22"/>
          <w:szCs w:val="22"/>
        </w:rPr>
        <w:t xml:space="preserve">meet the prince, in the hope that he will fall in love with her, </w:t>
      </w:r>
      <w:r w:rsidRPr="00F80EE4">
        <w:rPr>
          <w:rFonts w:cstheme="minorHAnsi"/>
          <w:sz w:val="22"/>
          <w:szCs w:val="22"/>
        </w:rPr>
        <w:t>it is her sisters who</w:t>
      </w:r>
      <w:r w:rsidR="000E79D2">
        <w:rPr>
          <w:rFonts w:cstheme="minorHAnsi"/>
          <w:sz w:val="22"/>
          <w:szCs w:val="22"/>
        </w:rPr>
        <w:t xml:space="preserve"> keep her company, </w:t>
      </w:r>
      <w:r w:rsidRPr="00F80EE4">
        <w:rPr>
          <w:rFonts w:cstheme="minorHAnsi"/>
          <w:sz w:val="22"/>
          <w:szCs w:val="22"/>
        </w:rPr>
        <w:t>visit</w:t>
      </w:r>
      <w:r w:rsidR="000E79D2">
        <w:rPr>
          <w:rFonts w:cstheme="minorHAnsi"/>
          <w:sz w:val="22"/>
          <w:szCs w:val="22"/>
        </w:rPr>
        <w:t>ing</w:t>
      </w:r>
      <w:r w:rsidR="00E21CA5">
        <w:rPr>
          <w:rFonts w:cstheme="minorHAnsi"/>
          <w:sz w:val="22"/>
          <w:szCs w:val="22"/>
        </w:rPr>
        <w:t xml:space="preserve"> </w:t>
      </w:r>
      <w:r w:rsidR="000E79D2">
        <w:rPr>
          <w:rFonts w:cstheme="minorHAnsi"/>
          <w:sz w:val="22"/>
          <w:szCs w:val="22"/>
        </w:rPr>
        <w:t>each</w:t>
      </w:r>
      <w:r w:rsidRPr="00F80EE4">
        <w:rPr>
          <w:rFonts w:cstheme="minorHAnsi"/>
          <w:sz w:val="22"/>
          <w:szCs w:val="22"/>
        </w:rPr>
        <w:t xml:space="preserve"> night. And</w:t>
      </w:r>
      <w:r w:rsidR="003E59D5">
        <w:rPr>
          <w:rFonts w:cstheme="minorHAnsi"/>
          <w:sz w:val="22"/>
          <w:szCs w:val="22"/>
        </w:rPr>
        <w:t>,</w:t>
      </w:r>
      <w:r w:rsidRPr="00F80EE4">
        <w:rPr>
          <w:rFonts w:cstheme="minorHAnsi"/>
          <w:sz w:val="22"/>
          <w:szCs w:val="22"/>
        </w:rPr>
        <w:t xml:space="preserve"> when </w:t>
      </w:r>
      <w:proofErr w:type="gramStart"/>
      <w:r w:rsidRPr="00F80EE4">
        <w:rPr>
          <w:rFonts w:cstheme="minorHAnsi"/>
          <w:sz w:val="22"/>
          <w:szCs w:val="22"/>
        </w:rPr>
        <w:t xml:space="preserve">it is clear that </w:t>
      </w:r>
      <w:r w:rsidR="00DE233F">
        <w:rPr>
          <w:rFonts w:cstheme="minorHAnsi"/>
          <w:sz w:val="22"/>
          <w:szCs w:val="22"/>
        </w:rPr>
        <w:t>the</w:t>
      </w:r>
      <w:proofErr w:type="gramEnd"/>
      <w:r w:rsidR="00DE233F">
        <w:rPr>
          <w:rFonts w:cstheme="minorHAnsi"/>
          <w:sz w:val="22"/>
          <w:szCs w:val="22"/>
        </w:rPr>
        <w:t xml:space="preserve"> little mermaid’s</w:t>
      </w:r>
      <w:r w:rsidRPr="00F80EE4">
        <w:rPr>
          <w:rFonts w:cstheme="minorHAnsi"/>
          <w:sz w:val="22"/>
          <w:szCs w:val="22"/>
        </w:rPr>
        <w:t xml:space="preserve"> gamble</w:t>
      </w:r>
      <w:r>
        <w:rPr>
          <w:rFonts w:cstheme="minorHAnsi"/>
          <w:sz w:val="22"/>
          <w:szCs w:val="22"/>
        </w:rPr>
        <w:t xml:space="preserve"> </w:t>
      </w:r>
      <w:r w:rsidRPr="00F80EE4">
        <w:rPr>
          <w:rFonts w:cstheme="minorHAnsi"/>
          <w:sz w:val="22"/>
          <w:szCs w:val="22"/>
        </w:rPr>
        <w:t>has failed to pay off and the prince is about to marry someone else, it is her sisters who sell their hair to the sea-witch to offer her a way out</w:t>
      </w:r>
      <w:r>
        <w:rPr>
          <w:rFonts w:cstheme="minorHAnsi"/>
          <w:sz w:val="22"/>
          <w:szCs w:val="22"/>
        </w:rPr>
        <w:t xml:space="preserve"> – a knife with which to kill the prince.</w:t>
      </w:r>
      <w:r w:rsidR="005274A9">
        <w:rPr>
          <w:rStyle w:val="FootnoteReference"/>
          <w:rFonts w:cstheme="minorHAnsi"/>
          <w:sz w:val="22"/>
          <w:szCs w:val="22"/>
        </w:rPr>
        <w:footnoteReference w:id="3"/>
      </w:r>
      <w:r>
        <w:rPr>
          <w:rFonts w:cstheme="minorHAnsi"/>
          <w:sz w:val="22"/>
          <w:szCs w:val="22"/>
        </w:rPr>
        <w:t xml:space="preserve"> </w:t>
      </w:r>
    </w:p>
    <w:p w14:paraId="22C951A1" w14:textId="77777777" w:rsidR="00F80EE4" w:rsidRDefault="00F80EE4" w:rsidP="00E80E0E">
      <w:pPr>
        <w:spacing w:line="360" w:lineRule="auto"/>
        <w:rPr>
          <w:rFonts w:cstheme="minorHAnsi"/>
          <w:sz w:val="22"/>
          <w:szCs w:val="22"/>
        </w:rPr>
      </w:pPr>
    </w:p>
    <w:p w14:paraId="5AC47CE4" w14:textId="44FCC53B" w:rsidR="006C0DCA" w:rsidRDefault="00E80E0E" w:rsidP="00E80E0E">
      <w:pPr>
        <w:spacing w:line="360" w:lineRule="auto"/>
        <w:rPr>
          <w:rFonts w:cstheme="minorHAnsi"/>
          <w:sz w:val="22"/>
          <w:szCs w:val="22"/>
        </w:rPr>
      </w:pPr>
      <w:r w:rsidRPr="009F7D89">
        <w:rPr>
          <w:rFonts w:cstheme="minorHAnsi"/>
          <w:sz w:val="22"/>
          <w:szCs w:val="22"/>
        </w:rPr>
        <w:t>Just over 20 years ago</w:t>
      </w:r>
      <w:r w:rsidR="00605F2C">
        <w:rPr>
          <w:rFonts w:cstheme="minorHAnsi"/>
          <w:sz w:val="22"/>
          <w:szCs w:val="22"/>
        </w:rPr>
        <w:t xml:space="preserve">, when judicial appointments were </w:t>
      </w:r>
      <w:r w:rsidR="003E59D5">
        <w:rPr>
          <w:rFonts w:cstheme="minorHAnsi"/>
          <w:sz w:val="22"/>
          <w:szCs w:val="22"/>
        </w:rPr>
        <w:t xml:space="preserve">still </w:t>
      </w:r>
      <w:r w:rsidR="00605F2C">
        <w:rPr>
          <w:rFonts w:cstheme="minorHAnsi"/>
          <w:sz w:val="22"/>
          <w:szCs w:val="22"/>
        </w:rPr>
        <w:t>in the hands of the Lord Chancellor and his trusted group of (male) colleagues, before Lady Hale had become the first woman in its 600 year history to be appointed Lord Appeal in Ordinary</w:t>
      </w:r>
      <w:r w:rsidR="00120E67">
        <w:rPr>
          <w:rFonts w:cstheme="minorHAnsi"/>
          <w:sz w:val="22"/>
          <w:szCs w:val="22"/>
        </w:rPr>
        <w:t xml:space="preserve"> and</w:t>
      </w:r>
      <w:r w:rsidR="00605F2C">
        <w:rPr>
          <w:rFonts w:cstheme="minorHAnsi"/>
          <w:sz w:val="22"/>
          <w:szCs w:val="22"/>
        </w:rPr>
        <w:t xml:space="preserve"> </w:t>
      </w:r>
      <w:r w:rsidR="00E374E0">
        <w:rPr>
          <w:rFonts w:cstheme="minorHAnsi"/>
          <w:sz w:val="22"/>
          <w:szCs w:val="22"/>
        </w:rPr>
        <w:t xml:space="preserve">when women in the senior judiciary were out-numbered </w:t>
      </w:r>
      <w:r w:rsidR="00605F2C">
        <w:rPr>
          <w:rFonts w:cstheme="minorHAnsi"/>
          <w:sz w:val="22"/>
          <w:szCs w:val="22"/>
        </w:rPr>
        <w:t>around</w:t>
      </w:r>
      <w:r w:rsidR="00E374E0">
        <w:rPr>
          <w:rFonts w:cstheme="minorHAnsi"/>
          <w:sz w:val="22"/>
          <w:szCs w:val="22"/>
        </w:rPr>
        <w:t xml:space="preserve"> 17:1</w:t>
      </w:r>
      <w:r w:rsidR="00605F2C">
        <w:rPr>
          <w:rFonts w:cstheme="minorHAnsi"/>
          <w:sz w:val="22"/>
          <w:szCs w:val="22"/>
        </w:rPr>
        <w:t>,</w:t>
      </w:r>
      <w:r w:rsidRPr="009F7D89">
        <w:rPr>
          <w:rFonts w:cstheme="minorHAnsi"/>
          <w:sz w:val="22"/>
          <w:szCs w:val="22"/>
        </w:rPr>
        <w:t xml:space="preserve"> </w:t>
      </w:r>
      <w:r w:rsidR="00F80EE4">
        <w:rPr>
          <w:rFonts w:cstheme="minorHAnsi"/>
          <w:sz w:val="22"/>
          <w:szCs w:val="22"/>
        </w:rPr>
        <w:t xml:space="preserve">I wrote an article </w:t>
      </w:r>
      <w:r w:rsidR="00587FC5">
        <w:rPr>
          <w:rFonts w:cstheme="minorHAnsi"/>
          <w:sz w:val="22"/>
          <w:szCs w:val="22"/>
        </w:rPr>
        <w:t xml:space="preserve">in which </w:t>
      </w:r>
      <w:r w:rsidR="002134F6">
        <w:rPr>
          <w:rFonts w:cstheme="minorHAnsi"/>
          <w:sz w:val="22"/>
          <w:szCs w:val="22"/>
        </w:rPr>
        <w:t xml:space="preserve">I suggested an </w:t>
      </w:r>
      <w:r w:rsidR="002134F6" w:rsidRPr="002134F6">
        <w:rPr>
          <w:rFonts w:cstheme="minorHAnsi"/>
          <w:sz w:val="22"/>
          <w:szCs w:val="22"/>
        </w:rPr>
        <w:t>analogy between the little mermaid and the woman judge.</w:t>
      </w:r>
      <w:r w:rsidR="00605F2C">
        <w:rPr>
          <w:rStyle w:val="FootnoteReference"/>
          <w:rFonts w:cstheme="minorHAnsi"/>
          <w:sz w:val="22"/>
          <w:szCs w:val="22"/>
        </w:rPr>
        <w:footnoteReference w:id="4"/>
      </w:r>
      <w:r w:rsidR="008A4DB8">
        <w:rPr>
          <w:rFonts w:cstheme="minorHAnsi"/>
          <w:sz w:val="22"/>
          <w:szCs w:val="22"/>
        </w:rPr>
        <w:t xml:space="preserve"> </w:t>
      </w:r>
      <w:r w:rsidR="00120E67">
        <w:rPr>
          <w:rFonts w:cstheme="minorHAnsi"/>
          <w:sz w:val="22"/>
          <w:szCs w:val="22"/>
        </w:rPr>
        <w:t>I argued that, l</w:t>
      </w:r>
      <w:r w:rsidR="002134F6" w:rsidRPr="002134F6">
        <w:rPr>
          <w:rFonts w:cstheme="minorHAnsi"/>
          <w:sz w:val="22"/>
          <w:szCs w:val="22"/>
        </w:rPr>
        <w:t>ike the little mermaid,</w:t>
      </w:r>
      <w:r w:rsidR="002134F6">
        <w:rPr>
          <w:rFonts w:cstheme="minorHAnsi"/>
          <w:sz w:val="22"/>
          <w:szCs w:val="22"/>
        </w:rPr>
        <w:t xml:space="preserve"> </w:t>
      </w:r>
      <w:r w:rsidR="002134F6" w:rsidRPr="002134F6">
        <w:rPr>
          <w:rFonts w:cstheme="minorHAnsi"/>
          <w:sz w:val="22"/>
          <w:szCs w:val="22"/>
        </w:rPr>
        <w:t xml:space="preserve">the woman judge was an outsider and, to fit in, she </w:t>
      </w:r>
      <w:r w:rsidR="00EE6EA1">
        <w:rPr>
          <w:rFonts w:cstheme="minorHAnsi"/>
          <w:sz w:val="22"/>
          <w:szCs w:val="22"/>
        </w:rPr>
        <w:t>too</w:t>
      </w:r>
      <w:r w:rsidR="00EE6EA1" w:rsidRPr="002134F6">
        <w:rPr>
          <w:rFonts w:cstheme="minorHAnsi"/>
          <w:sz w:val="22"/>
          <w:szCs w:val="22"/>
        </w:rPr>
        <w:t xml:space="preserve"> </w:t>
      </w:r>
      <w:r w:rsidR="002134F6" w:rsidRPr="002134F6">
        <w:rPr>
          <w:rFonts w:cstheme="minorHAnsi"/>
          <w:sz w:val="22"/>
          <w:szCs w:val="22"/>
        </w:rPr>
        <w:t>had to give up what made her distinctiv</w:t>
      </w:r>
      <w:r w:rsidR="002134F6">
        <w:rPr>
          <w:rFonts w:cstheme="minorHAnsi"/>
          <w:sz w:val="22"/>
          <w:szCs w:val="22"/>
        </w:rPr>
        <w:t>e.</w:t>
      </w:r>
      <w:r w:rsidR="00220950">
        <w:rPr>
          <w:rFonts w:cstheme="minorHAnsi"/>
          <w:sz w:val="22"/>
          <w:szCs w:val="22"/>
        </w:rPr>
        <w:t xml:space="preserve"> Over the years</w:t>
      </w:r>
      <w:r w:rsidR="00803985">
        <w:rPr>
          <w:rFonts w:cstheme="minorHAnsi"/>
          <w:sz w:val="22"/>
          <w:szCs w:val="22"/>
        </w:rPr>
        <w:t>,</w:t>
      </w:r>
      <w:r w:rsidR="003E59D5">
        <w:rPr>
          <w:rFonts w:cstheme="minorHAnsi"/>
          <w:sz w:val="22"/>
          <w:szCs w:val="22"/>
        </w:rPr>
        <w:t xml:space="preserve"> </w:t>
      </w:r>
      <w:r w:rsidR="00220950">
        <w:rPr>
          <w:rFonts w:cstheme="minorHAnsi"/>
          <w:sz w:val="22"/>
          <w:szCs w:val="22"/>
        </w:rPr>
        <w:t>t</w:t>
      </w:r>
      <w:r w:rsidR="00803985">
        <w:rPr>
          <w:rFonts w:cstheme="minorHAnsi"/>
          <w:sz w:val="22"/>
          <w:szCs w:val="22"/>
        </w:rPr>
        <w:t>he</w:t>
      </w:r>
      <w:r w:rsidR="00220950">
        <w:rPr>
          <w:rFonts w:cstheme="minorHAnsi"/>
          <w:sz w:val="22"/>
          <w:szCs w:val="22"/>
        </w:rPr>
        <w:t xml:space="preserve"> image of the</w:t>
      </w:r>
      <w:r w:rsidR="000E79D2">
        <w:rPr>
          <w:rFonts w:cstheme="minorHAnsi"/>
          <w:sz w:val="22"/>
          <w:szCs w:val="22"/>
        </w:rPr>
        <w:t xml:space="preserve"> woman judge as </w:t>
      </w:r>
      <w:r w:rsidR="00120E67">
        <w:rPr>
          <w:rFonts w:cstheme="minorHAnsi"/>
          <w:sz w:val="22"/>
          <w:szCs w:val="22"/>
        </w:rPr>
        <w:t>the</w:t>
      </w:r>
      <w:r w:rsidR="000E79D2">
        <w:rPr>
          <w:rFonts w:cstheme="minorHAnsi"/>
          <w:sz w:val="22"/>
          <w:szCs w:val="22"/>
        </w:rPr>
        <w:t xml:space="preserve"> </w:t>
      </w:r>
      <w:r w:rsidR="00220950">
        <w:rPr>
          <w:rFonts w:cstheme="minorHAnsi"/>
          <w:sz w:val="22"/>
          <w:szCs w:val="22"/>
        </w:rPr>
        <w:t>little mermaid has caught the imagination</w:t>
      </w:r>
      <w:r w:rsidR="00120E67">
        <w:rPr>
          <w:rFonts w:cstheme="minorHAnsi"/>
          <w:sz w:val="22"/>
          <w:szCs w:val="22"/>
        </w:rPr>
        <w:t xml:space="preserve"> of women judges, academics, </w:t>
      </w:r>
      <w:proofErr w:type="gramStart"/>
      <w:r w:rsidR="00120E67">
        <w:rPr>
          <w:rFonts w:cstheme="minorHAnsi"/>
          <w:sz w:val="22"/>
          <w:szCs w:val="22"/>
        </w:rPr>
        <w:t>journalists</w:t>
      </w:r>
      <w:proofErr w:type="gramEnd"/>
      <w:r w:rsidR="00120E67">
        <w:rPr>
          <w:rFonts w:cstheme="minorHAnsi"/>
          <w:sz w:val="22"/>
          <w:szCs w:val="22"/>
        </w:rPr>
        <w:t xml:space="preserve"> and artists alike</w:t>
      </w:r>
      <w:r w:rsidR="005C2F75">
        <w:rPr>
          <w:rFonts w:cstheme="minorHAnsi"/>
          <w:sz w:val="22"/>
          <w:szCs w:val="22"/>
        </w:rPr>
        <w:t>.</w:t>
      </w:r>
      <w:r w:rsidR="00605F2C">
        <w:rPr>
          <w:rStyle w:val="FootnoteReference"/>
          <w:rFonts w:cstheme="minorHAnsi"/>
          <w:sz w:val="22"/>
          <w:szCs w:val="22"/>
        </w:rPr>
        <w:footnoteReference w:id="5"/>
      </w:r>
      <w:r w:rsidR="005C2F75">
        <w:rPr>
          <w:rFonts w:cstheme="minorHAnsi"/>
          <w:sz w:val="22"/>
          <w:szCs w:val="22"/>
        </w:rPr>
        <w:t xml:space="preserve"> </w:t>
      </w:r>
      <w:r w:rsidR="005274A9">
        <w:rPr>
          <w:rFonts w:cstheme="minorHAnsi"/>
          <w:sz w:val="22"/>
          <w:szCs w:val="22"/>
        </w:rPr>
        <w:t>However, t</w:t>
      </w:r>
      <w:r w:rsidR="002F6C1A">
        <w:rPr>
          <w:rFonts w:cstheme="minorHAnsi"/>
          <w:sz w:val="22"/>
          <w:szCs w:val="22"/>
        </w:rPr>
        <w:t>wo decades later</w:t>
      </w:r>
      <w:r w:rsidR="005C2F75">
        <w:rPr>
          <w:rFonts w:cstheme="minorHAnsi"/>
          <w:sz w:val="22"/>
          <w:szCs w:val="22"/>
        </w:rPr>
        <w:t>,</w:t>
      </w:r>
      <w:r w:rsidR="003E59D5">
        <w:rPr>
          <w:rFonts w:cstheme="minorHAnsi"/>
          <w:sz w:val="22"/>
          <w:szCs w:val="22"/>
        </w:rPr>
        <w:t xml:space="preserve"> </w:t>
      </w:r>
      <w:r w:rsidR="00587FC5">
        <w:rPr>
          <w:rFonts w:cstheme="minorHAnsi"/>
          <w:sz w:val="22"/>
          <w:szCs w:val="22"/>
        </w:rPr>
        <w:t>the story of the woman judge has moved on.</w:t>
      </w:r>
      <w:r w:rsidR="00D20082">
        <w:rPr>
          <w:rFonts w:cstheme="minorHAnsi"/>
          <w:sz w:val="22"/>
          <w:szCs w:val="22"/>
        </w:rPr>
        <w:t xml:space="preserve"> </w:t>
      </w:r>
      <w:r w:rsidR="00587FC5">
        <w:rPr>
          <w:rFonts w:cstheme="minorHAnsi"/>
          <w:sz w:val="22"/>
          <w:szCs w:val="22"/>
        </w:rPr>
        <w:t>T</w:t>
      </w:r>
      <w:r w:rsidR="00F80EE4">
        <w:rPr>
          <w:rFonts w:cstheme="minorHAnsi"/>
          <w:sz w:val="22"/>
          <w:szCs w:val="22"/>
        </w:rPr>
        <w:t xml:space="preserve">here </w:t>
      </w:r>
      <w:r w:rsidRPr="009F7D89">
        <w:rPr>
          <w:rFonts w:cstheme="minorHAnsi"/>
          <w:sz w:val="22"/>
          <w:szCs w:val="22"/>
        </w:rPr>
        <w:t>are now many more examples of women judges wh</w:t>
      </w:r>
      <w:r w:rsidR="00803985">
        <w:rPr>
          <w:rFonts w:cstheme="minorHAnsi"/>
          <w:sz w:val="22"/>
          <w:szCs w:val="22"/>
        </w:rPr>
        <w:t>o</w:t>
      </w:r>
      <w:r w:rsidRPr="009F7D89">
        <w:rPr>
          <w:rFonts w:cstheme="minorHAnsi"/>
          <w:sz w:val="22"/>
          <w:szCs w:val="22"/>
        </w:rPr>
        <w:t xml:space="preserve"> are emphatically not the little mermaid, or at least </w:t>
      </w:r>
      <w:r w:rsidR="002F6C1A">
        <w:rPr>
          <w:rFonts w:cstheme="minorHAnsi"/>
          <w:sz w:val="22"/>
          <w:szCs w:val="22"/>
        </w:rPr>
        <w:t xml:space="preserve">not </w:t>
      </w:r>
      <w:r w:rsidRPr="009F7D89">
        <w:rPr>
          <w:rFonts w:cstheme="minorHAnsi"/>
          <w:sz w:val="22"/>
          <w:szCs w:val="22"/>
        </w:rPr>
        <w:t>the voice-selling, self-denying</w:t>
      </w:r>
      <w:r w:rsidR="002134F6">
        <w:rPr>
          <w:rFonts w:cstheme="minorHAnsi"/>
          <w:sz w:val="22"/>
          <w:szCs w:val="22"/>
        </w:rPr>
        <w:t xml:space="preserve"> </w:t>
      </w:r>
      <w:r w:rsidRPr="009F7D89">
        <w:rPr>
          <w:rFonts w:cstheme="minorHAnsi"/>
          <w:sz w:val="22"/>
          <w:szCs w:val="22"/>
        </w:rPr>
        <w:t>version found in Andersen’s tale</w:t>
      </w:r>
      <w:r w:rsidR="00120E67">
        <w:rPr>
          <w:rFonts w:cstheme="minorHAnsi"/>
          <w:sz w:val="22"/>
          <w:szCs w:val="22"/>
        </w:rPr>
        <w:t xml:space="preserve"> – </w:t>
      </w:r>
      <w:r w:rsidR="008A4DB8">
        <w:rPr>
          <w:rFonts w:cstheme="minorHAnsi"/>
          <w:sz w:val="22"/>
          <w:szCs w:val="22"/>
        </w:rPr>
        <w:t>n</w:t>
      </w:r>
      <w:r w:rsidR="00F80EE4">
        <w:rPr>
          <w:rFonts w:cstheme="minorHAnsi"/>
          <w:sz w:val="22"/>
          <w:szCs w:val="22"/>
        </w:rPr>
        <w:t>ot least</w:t>
      </w:r>
      <w:r w:rsidRPr="009F7D89">
        <w:rPr>
          <w:rFonts w:cstheme="minorHAnsi"/>
          <w:sz w:val="22"/>
          <w:szCs w:val="22"/>
        </w:rPr>
        <w:t xml:space="preserve"> Lady Hale.</w:t>
      </w:r>
      <w:r w:rsidR="008A4DB8">
        <w:rPr>
          <w:rStyle w:val="FootnoteReference"/>
          <w:rFonts w:cstheme="minorHAnsi"/>
          <w:sz w:val="22"/>
          <w:szCs w:val="22"/>
        </w:rPr>
        <w:footnoteReference w:id="6"/>
      </w:r>
      <w:r w:rsidRPr="009F7D89">
        <w:rPr>
          <w:rFonts w:cstheme="minorHAnsi"/>
          <w:sz w:val="22"/>
          <w:szCs w:val="22"/>
        </w:rPr>
        <w:t xml:space="preserve"> </w:t>
      </w:r>
      <w:r w:rsidR="000E79D2">
        <w:rPr>
          <w:rFonts w:cstheme="minorHAnsi"/>
          <w:sz w:val="22"/>
          <w:szCs w:val="22"/>
        </w:rPr>
        <w:t>U</w:t>
      </w:r>
      <w:r w:rsidR="00587FC5">
        <w:rPr>
          <w:rFonts w:cstheme="minorHAnsi"/>
          <w:sz w:val="22"/>
          <w:szCs w:val="22"/>
        </w:rPr>
        <w:t>nderstandings of the judge and judging have developed</w:t>
      </w:r>
      <w:r w:rsidR="000E79D2">
        <w:rPr>
          <w:rFonts w:cstheme="minorHAnsi"/>
          <w:sz w:val="22"/>
          <w:szCs w:val="22"/>
        </w:rPr>
        <w:t xml:space="preserve"> too</w:t>
      </w:r>
      <w:r w:rsidR="00587FC5">
        <w:rPr>
          <w:rFonts w:cstheme="minorHAnsi"/>
          <w:sz w:val="22"/>
          <w:szCs w:val="22"/>
        </w:rPr>
        <w:t>,</w:t>
      </w:r>
      <w:r w:rsidR="006760C8">
        <w:rPr>
          <w:rFonts w:cstheme="minorHAnsi"/>
          <w:sz w:val="22"/>
          <w:szCs w:val="22"/>
        </w:rPr>
        <w:t xml:space="preserve"> </w:t>
      </w:r>
      <w:r w:rsidR="002134F6">
        <w:rPr>
          <w:rFonts w:cstheme="minorHAnsi"/>
          <w:sz w:val="22"/>
          <w:szCs w:val="22"/>
        </w:rPr>
        <w:t>in</w:t>
      </w:r>
      <w:r w:rsidR="00DE233F">
        <w:rPr>
          <w:rFonts w:cstheme="minorHAnsi"/>
          <w:sz w:val="22"/>
          <w:szCs w:val="22"/>
        </w:rPr>
        <w:t xml:space="preserve"> large</w:t>
      </w:r>
      <w:r w:rsidR="002134F6">
        <w:rPr>
          <w:rFonts w:cstheme="minorHAnsi"/>
          <w:sz w:val="22"/>
          <w:szCs w:val="22"/>
        </w:rPr>
        <w:t xml:space="preserve"> </w:t>
      </w:r>
      <w:r w:rsidR="002134F6">
        <w:rPr>
          <w:rFonts w:cstheme="minorHAnsi"/>
          <w:sz w:val="22"/>
          <w:szCs w:val="22"/>
        </w:rPr>
        <w:lastRenderedPageBreak/>
        <w:t xml:space="preserve">part </w:t>
      </w:r>
      <w:r w:rsidR="00DE233F">
        <w:rPr>
          <w:rFonts w:cstheme="minorHAnsi"/>
          <w:sz w:val="22"/>
          <w:szCs w:val="22"/>
        </w:rPr>
        <w:t>as the result</w:t>
      </w:r>
      <w:r w:rsidR="00EE6EA1">
        <w:rPr>
          <w:rFonts w:cstheme="minorHAnsi"/>
          <w:sz w:val="22"/>
          <w:szCs w:val="22"/>
        </w:rPr>
        <w:t xml:space="preserve"> of</w:t>
      </w:r>
      <w:r w:rsidR="002134F6">
        <w:rPr>
          <w:rFonts w:cstheme="minorHAnsi"/>
          <w:sz w:val="22"/>
          <w:szCs w:val="22"/>
        </w:rPr>
        <w:t xml:space="preserve"> women judges</w:t>
      </w:r>
      <w:r w:rsidR="00EE6EA1">
        <w:rPr>
          <w:rFonts w:cstheme="minorHAnsi"/>
          <w:sz w:val="22"/>
          <w:szCs w:val="22"/>
        </w:rPr>
        <w:t>’</w:t>
      </w:r>
      <w:r w:rsidR="002134F6">
        <w:rPr>
          <w:rFonts w:cstheme="minorHAnsi"/>
          <w:sz w:val="22"/>
          <w:szCs w:val="22"/>
        </w:rPr>
        <w:t xml:space="preserve"> presence in</w:t>
      </w:r>
      <w:r w:rsidR="000E79D2">
        <w:rPr>
          <w:rFonts w:cstheme="minorHAnsi"/>
          <w:sz w:val="22"/>
          <w:szCs w:val="22"/>
        </w:rPr>
        <w:t xml:space="preserve">, </w:t>
      </w:r>
      <w:r w:rsidR="00DE233F">
        <w:rPr>
          <w:rFonts w:cstheme="minorHAnsi"/>
          <w:sz w:val="22"/>
          <w:szCs w:val="22"/>
        </w:rPr>
        <w:t xml:space="preserve">and </w:t>
      </w:r>
      <w:r w:rsidR="000E79D2">
        <w:rPr>
          <w:rFonts w:cstheme="minorHAnsi"/>
          <w:sz w:val="22"/>
          <w:szCs w:val="22"/>
        </w:rPr>
        <w:t xml:space="preserve">impact </w:t>
      </w:r>
      <w:r w:rsidR="00DE233F">
        <w:rPr>
          <w:rFonts w:cstheme="minorHAnsi"/>
          <w:sz w:val="22"/>
          <w:szCs w:val="22"/>
        </w:rPr>
        <w:t>on</w:t>
      </w:r>
      <w:r w:rsidR="000E79D2">
        <w:rPr>
          <w:rFonts w:cstheme="minorHAnsi"/>
          <w:sz w:val="22"/>
          <w:szCs w:val="22"/>
        </w:rPr>
        <w:t>,</w:t>
      </w:r>
      <w:r w:rsidR="002134F6">
        <w:rPr>
          <w:rFonts w:cstheme="minorHAnsi"/>
          <w:sz w:val="22"/>
          <w:szCs w:val="22"/>
        </w:rPr>
        <w:t xml:space="preserve"> the judiciary</w:t>
      </w:r>
      <w:r w:rsidR="00DE233F">
        <w:rPr>
          <w:rFonts w:cstheme="minorHAnsi"/>
          <w:sz w:val="22"/>
          <w:szCs w:val="22"/>
        </w:rPr>
        <w:t xml:space="preserve"> </w:t>
      </w:r>
      <w:r w:rsidR="002F6C1A">
        <w:rPr>
          <w:rFonts w:cstheme="minorHAnsi"/>
          <w:sz w:val="22"/>
          <w:szCs w:val="22"/>
        </w:rPr>
        <w:t xml:space="preserve">as well as </w:t>
      </w:r>
      <w:r w:rsidR="00687175">
        <w:rPr>
          <w:rFonts w:cstheme="minorHAnsi"/>
          <w:sz w:val="22"/>
          <w:szCs w:val="22"/>
        </w:rPr>
        <w:t>academic endeavours including the various ‘Feminist Judgments Projects’</w:t>
      </w:r>
      <w:r w:rsidR="002134F6">
        <w:rPr>
          <w:rFonts w:cstheme="minorHAnsi"/>
          <w:sz w:val="22"/>
          <w:szCs w:val="22"/>
        </w:rPr>
        <w:t>.</w:t>
      </w:r>
      <w:r w:rsidR="00687175">
        <w:rPr>
          <w:rStyle w:val="FootnoteReference"/>
          <w:rFonts w:cstheme="minorHAnsi"/>
          <w:sz w:val="22"/>
          <w:szCs w:val="22"/>
        </w:rPr>
        <w:footnoteReference w:id="7"/>
      </w:r>
      <w:r w:rsidR="002134F6">
        <w:rPr>
          <w:rFonts w:cstheme="minorHAnsi"/>
          <w:sz w:val="22"/>
          <w:szCs w:val="22"/>
        </w:rPr>
        <w:t xml:space="preserve"> W</w:t>
      </w:r>
      <w:r w:rsidRPr="009F7D89">
        <w:rPr>
          <w:rFonts w:cstheme="minorHAnsi"/>
          <w:sz w:val="22"/>
          <w:szCs w:val="22"/>
        </w:rPr>
        <w:t xml:space="preserve">omen </w:t>
      </w:r>
      <w:r w:rsidR="00587FC5">
        <w:rPr>
          <w:rFonts w:cstheme="minorHAnsi"/>
          <w:sz w:val="22"/>
          <w:szCs w:val="22"/>
        </w:rPr>
        <w:t xml:space="preserve">and other non-traditional </w:t>
      </w:r>
      <w:r w:rsidRPr="009F7D89">
        <w:rPr>
          <w:rFonts w:cstheme="minorHAnsi"/>
          <w:sz w:val="22"/>
          <w:szCs w:val="22"/>
        </w:rPr>
        <w:t xml:space="preserve">judges are not only able, but willing, to speak in a multiplicity of voices. </w:t>
      </w:r>
      <w:r w:rsidR="00587FC5" w:rsidRPr="00120E67">
        <w:rPr>
          <w:rFonts w:cstheme="minorHAnsi"/>
          <w:sz w:val="22"/>
          <w:szCs w:val="22"/>
        </w:rPr>
        <w:t xml:space="preserve">And </w:t>
      </w:r>
      <w:proofErr w:type="gramStart"/>
      <w:r w:rsidR="00587FC5" w:rsidRPr="00120E67">
        <w:rPr>
          <w:rFonts w:cstheme="minorHAnsi"/>
          <w:sz w:val="22"/>
          <w:szCs w:val="22"/>
        </w:rPr>
        <w:t>happily</w:t>
      </w:r>
      <w:proofErr w:type="gramEnd"/>
      <w:r w:rsidR="00587FC5" w:rsidRPr="00120E67">
        <w:rPr>
          <w:rFonts w:cstheme="minorHAnsi"/>
          <w:sz w:val="22"/>
          <w:szCs w:val="22"/>
        </w:rPr>
        <w:t xml:space="preserve"> so.</w:t>
      </w:r>
      <w:r w:rsidR="00587FC5" w:rsidRPr="009F7D89">
        <w:rPr>
          <w:rFonts w:cstheme="minorHAnsi"/>
          <w:sz w:val="22"/>
          <w:szCs w:val="22"/>
        </w:rPr>
        <w:t xml:space="preserve"> </w:t>
      </w:r>
    </w:p>
    <w:p w14:paraId="51AF133C" w14:textId="77777777" w:rsidR="006C0DCA" w:rsidRDefault="006C0DCA" w:rsidP="00E80E0E">
      <w:pPr>
        <w:spacing w:line="360" w:lineRule="auto"/>
        <w:rPr>
          <w:rFonts w:cstheme="minorHAnsi"/>
          <w:sz w:val="22"/>
          <w:szCs w:val="22"/>
        </w:rPr>
      </w:pPr>
    </w:p>
    <w:p w14:paraId="51D6FC2D" w14:textId="6ACB53F7" w:rsidR="001053BA" w:rsidRDefault="00E21CA5" w:rsidP="00E80E0E">
      <w:pPr>
        <w:spacing w:line="360" w:lineRule="auto"/>
        <w:rPr>
          <w:rFonts w:cstheme="minorHAnsi"/>
          <w:sz w:val="22"/>
          <w:szCs w:val="22"/>
        </w:rPr>
      </w:pPr>
      <w:r>
        <w:rPr>
          <w:rFonts w:cstheme="minorHAnsi"/>
          <w:sz w:val="22"/>
          <w:szCs w:val="22"/>
        </w:rPr>
        <w:t>My</w:t>
      </w:r>
      <w:r w:rsidR="00587FC5">
        <w:rPr>
          <w:rFonts w:cstheme="minorHAnsi"/>
          <w:sz w:val="22"/>
          <w:szCs w:val="22"/>
        </w:rPr>
        <w:t xml:space="preserve"> thinking about the little mermaid</w:t>
      </w:r>
      <w:r w:rsidR="006760C8">
        <w:rPr>
          <w:rFonts w:cstheme="minorHAnsi"/>
          <w:sz w:val="22"/>
          <w:szCs w:val="22"/>
        </w:rPr>
        <w:t xml:space="preserve"> and her story</w:t>
      </w:r>
      <w:r>
        <w:rPr>
          <w:rFonts w:cstheme="minorHAnsi"/>
          <w:sz w:val="22"/>
          <w:szCs w:val="22"/>
        </w:rPr>
        <w:t xml:space="preserve"> has also </w:t>
      </w:r>
      <w:r w:rsidR="00C31D48">
        <w:rPr>
          <w:rFonts w:cstheme="minorHAnsi"/>
          <w:sz w:val="22"/>
          <w:szCs w:val="22"/>
        </w:rPr>
        <w:t>moved on</w:t>
      </w:r>
      <w:r>
        <w:rPr>
          <w:rFonts w:cstheme="minorHAnsi"/>
          <w:sz w:val="22"/>
          <w:szCs w:val="22"/>
        </w:rPr>
        <w:t>.</w:t>
      </w:r>
      <w:r w:rsidR="00995B2C">
        <w:rPr>
          <w:rFonts w:cstheme="minorHAnsi"/>
          <w:sz w:val="22"/>
          <w:szCs w:val="22"/>
        </w:rPr>
        <w:t xml:space="preserve"> </w:t>
      </w:r>
      <w:r w:rsidR="00E80E0E" w:rsidRPr="009F7D89">
        <w:rPr>
          <w:rFonts w:cstheme="minorHAnsi"/>
          <w:sz w:val="22"/>
          <w:szCs w:val="22"/>
        </w:rPr>
        <w:t>Published the year Queen Victoria ascended to the throne,</w:t>
      </w:r>
      <w:r w:rsidR="002134F6">
        <w:rPr>
          <w:rFonts w:cstheme="minorHAnsi"/>
          <w:sz w:val="22"/>
          <w:szCs w:val="22"/>
        </w:rPr>
        <w:t xml:space="preserve"> </w:t>
      </w:r>
      <w:r w:rsidR="006760C8">
        <w:rPr>
          <w:rFonts w:cstheme="minorHAnsi"/>
          <w:i/>
          <w:iCs/>
          <w:sz w:val="22"/>
          <w:szCs w:val="22"/>
        </w:rPr>
        <w:t xml:space="preserve">The Little Mermaid </w:t>
      </w:r>
      <w:r w:rsidR="00C31D48">
        <w:rPr>
          <w:rFonts w:cstheme="minorHAnsi"/>
          <w:sz w:val="22"/>
          <w:szCs w:val="22"/>
        </w:rPr>
        <w:t xml:space="preserve">is </w:t>
      </w:r>
      <w:r w:rsidR="002134F6">
        <w:rPr>
          <w:rFonts w:cstheme="minorHAnsi"/>
          <w:sz w:val="22"/>
          <w:szCs w:val="22"/>
        </w:rPr>
        <w:t xml:space="preserve">at </w:t>
      </w:r>
      <w:r w:rsidR="00E80E0E" w:rsidRPr="009F7D89">
        <w:rPr>
          <w:rFonts w:cstheme="minorHAnsi"/>
          <w:sz w:val="22"/>
          <w:szCs w:val="22"/>
        </w:rPr>
        <w:t xml:space="preserve">its heart a story about sisters and sisterhood. </w:t>
      </w:r>
      <w:r w:rsidR="008A4DB8">
        <w:rPr>
          <w:rFonts w:cstheme="minorHAnsi"/>
          <w:sz w:val="22"/>
          <w:szCs w:val="22"/>
        </w:rPr>
        <w:t>It is a</w:t>
      </w:r>
      <w:r w:rsidR="00587FC5" w:rsidRPr="009F7D89">
        <w:rPr>
          <w:rFonts w:cstheme="minorHAnsi"/>
          <w:sz w:val="22"/>
          <w:szCs w:val="22"/>
        </w:rPr>
        <w:t xml:space="preserve"> coming-of-age </w:t>
      </w:r>
      <w:r w:rsidR="00DE233F">
        <w:rPr>
          <w:rFonts w:cstheme="minorHAnsi"/>
          <w:sz w:val="22"/>
          <w:szCs w:val="22"/>
        </w:rPr>
        <w:t>tale</w:t>
      </w:r>
      <w:r w:rsidR="00587FC5" w:rsidRPr="009F7D89">
        <w:rPr>
          <w:rFonts w:cstheme="minorHAnsi"/>
          <w:sz w:val="22"/>
          <w:szCs w:val="22"/>
        </w:rPr>
        <w:t xml:space="preserve"> about</w:t>
      </w:r>
      <w:r w:rsidR="008A4DB8">
        <w:rPr>
          <w:rFonts w:cstheme="minorHAnsi"/>
          <w:sz w:val="22"/>
          <w:szCs w:val="22"/>
        </w:rPr>
        <w:t xml:space="preserve"> </w:t>
      </w:r>
      <w:r w:rsidR="00587FC5" w:rsidRPr="009F7D89">
        <w:rPr>
          <w:rFonts w:cstheme="minorHAnsi"/>
          <w:sz w:val="22"/>
          <w:szCs w:val="22"/>
        </w:rPr>
        <w:t xml:space="preserve">the relationship and distance between two-worlds where neither fully understands the other. </w:t>
      </w:r>
      <w:proofErr w:type="spellStart"/>
      <w:r w:rsidR="00E80E0E" w:rsidRPr="009F7D89">
        <w:rPr>
          <w:rFonts w:cstheme="minorHAnsi"/>
          <w:sz w:val="22"/>
          <w:szCs w:val="22"/>
        </w:rPr>
        <w:t>Were</w:t>
      </w:r>
      <w:proofErr w:type="spellEnd"/>
      <w:r w:rsidR="00E80E0E" w:rsidRPr="009F7D89">
        <w:rPr>
          <w:rFonts w:cstheme="minorHAnsi"/>
          <w:sz w:val="22"/>
          <w:szCs w:val="22"/>
        </w:rPr>
        <w:t xml:space="preserve"> I to write my paper today,</w:t>
      </w:r>
      <w:r w:rsidR="002134F6">
        <w:rPr>
          <w:rFonts w:cstheme="minorHAnsi"/>
          <w:sz w:val="22"/>
          <w:szCs w:val="22"/>
        </w:rPr>
        <w:t xml:space="preserve"> </w:t>
      </w:r>
      <w:r w:rsidR="001053BA">
        <w:rPr>
          <w:rFonts w:cstheme="minorHAnsi"/>
          <w:sz w:val="22"/>
          <w:szCs w:val="22"/>
        </w:rPr>
        <w:t>I would</w:t>
      </w:r>
      <w:r w:rsidR="001053BA" w:rsidRPr="009F7D89">
        <w:rPr>
          <w:rFonts w:cstheme="minorHAnsi"/>
          <w:sz w:val="22"/>
          <w:szCs w:val="22"/>
        </w:rPr>
        <w:t xml:space="preserve"> write about </w:t>
      </w:r>
      <w:r w:rsidR="001053BA" w:rsidRPr="00803985">
        <w:rPr>
          <w:rFonts w:cstheme="minorHAnsi"/>
          <w:i/>
          <w:iCs/>
          <w:sz w:val="22"/>
          <w:szCs w:val="22"/>
        </w:rPr>
        <w:t>all</w:t>
      </w:r>
      <w:r w:rsidR="001053BA" w:rsidRPr="009F7D89">
        <w:rPr>
          <w:rFonts w:cstheme="minorHAnsi"/>
          <w:sz w:val="22"/>
          <w:szCs w:val="22"/>
        </w:rPr>
        <w:t xml:space="preserve"> Andersen’s sea-princesses: the little mermaid, </w:t>
      </w:r>
      <w:r w:rsidR="001053BA">
        <w:rPr>
          <w:rFonts w:cstheme="minorHAnsi"/>
          <w:sz w:val="22"/>
          <w:szCs w:val="22"/>
        </w:rPr>
        <w:t xml:space="preserve">but also </w:t>
      </w:r>
      <w:r w:rsidR="001053BA" w:rsidRPr="009F7D89">
        <w:rPr>
          <w:rFonts w:cstheme="minorHAnsi"/>
          <w:sz w:val="22"/>
          <w:szCs w:val="22"/>
        </w:rPr>
        <w:t>her sisters, and their grandmother.</w:t>
      </w:r>
      <w:r w:rsidR="001053BA">
        <w:rPr>
          <w:rFonts w:cstheme="minorHAnsi"/>
          <w:sz w:val="22"/>
          <w:szCs w:val="22"/>
        </w:rPr>
        <w:t xml:space="preserve"> </w:t>
      </w:r>
      <w:r w:rsidR="00C31D48">
        <w:rPr>
          <w:rFonts w:cstheme="minorHAnsi"/>
          <w:sz w:val="22"/>
          <w:szCs w:val="22"/>
        </w:rPr>
        <w:t xml:space="preserve">I’d start not with Carl Jacobsen’s </w:t>
      </w:r>
      <w:r w:rsidR="005274A9">
        <w:rPr>
          <w:rFonts w:cstheme="minorHAnsi"/>
          <w:sz w:val="22"/>
          <w:szCs w:val="22"/>
        </w:rPr>
        <w:t xml:space="preserve">1913 </w:t>
      </w:r>
      <w:r w:rsidR="00C31D48">
        <w:rPr>
          <w:rFonts w:cstheme="minorHAnsi"/>
          <w:sz w:val="22"/>
          <w:szCs w:val="22"/>
        </w:rPr>
        <w:t>sculpture</w:t>
      </w:r>
      <w:r w:rsidR="001053BA">
        <w:rPr>
          <w:rFonts w:cstheme="minorHAnsi"/>
          <w:sz w:val="22"/>
          <w:szCs w:val="22"/>
        </w:rPr>
        <w:t xml:space="preserve"> of the little mermaid sitting alone</w:t>
      </w:r>
      <w:r w:rsidR="00C31D48">
        <w:rPr>
          <w:rFonts w:cstheme="minorHAnsi"/>
          <w:sz w:val="22"/>
          <w:szCs w:val="22"/>
        </w:rPr>
        <w:t xml:space="preserve">, but with the striking illustrations of </w:t>
      </w:r>
      <w:proofErr w:type="spellStart"/>
      <w:r w:rsidR="00C31D48">
        <w:rPr>
          <w:rFonts w:cstheme="minorHAnsi"/>
          <w:sz w:val="22"/>
          <w:szCs w:val="22"/>
        </w:rPr>
        <w:t>Miraphora</w:t>
      </w:r>
      <w:proofErr w:type="spellEnd"/>
      <w:r w:rsidR="00C31D48">
        <w:rPr>
          <w:rFonts w:cstheme="minorHAnsi"/>
          <w:sz w:val="22"/>
          <w:szCs w:val="22"/>
        </w:rPr>
        <w:t xml:space="preserve"> Lima and Eduardo Lima published in 2018 in which the mermaid sisters are depicted together, arm in arm.</w:t>
      </w:r>
      <w:r w:rsidR="00C31D48">
        <w:rPr>
          <w:rStyle w:val="FootnoteReference"/>
          <w:rFonts w:cstheme="minorHAnsi"/>
          <w:sz w:val="22"/>
          <w:szCs w:val="22"/>
        </w:rPr>
        <w:footnoteReference w:id="8"/>
      </w:r>
      <w:r w:rsidR="00C31D48" w:rsidRPr="009F7D89">
        <w:rPr>
          <w:rFonts w:cstheme="minorHAnsi"/>
          <w:sz w:val="22"/>
          <w:szCs w:val="22"/>
        </w:rPr>
        <w:t xml:space="preserve"> </w:t>
      </w:r>
      <w:r w:rsidR="00C31D48">
        <w:rPr>
          <w:rFonts w:cstheme="minorHAnsi"/>
          <w:sz w:val="22"/>
          <w:szCs w:val="22"/>
        </w:rPr>
        <w:t xml:space="preserve"> </w:t>
      </w:r>
      <w:r w:rsidR="00E80E0E" w:rsidRPr="009F7D89">
        <w:rPr>
          <w:rFonts w:cstheme="minorHAnsi"/>
          <w:sz w:val="22"/>
          <w:szCs w:val="22"/>
        </w:rPr>
        <w:t>And, vitally, I’d start not with the silenc</w:t>
      </w:r>
      <w:r w:rsidR="00803985">
        <w:rPr>
          <w:rFonts w:cstheme="minorHAnsi"/>
          <w:sz w:val="22"/>
          <w:szCs w:val="22"/>
        </w:rPr>
        <w:t>ing</w:t>
      </w:r>
      <w:r w:rsidR="00E80E0E" w:rsidRPr="009F7D89">
        <w:rPr>
          <w:rFonts w:cstheme="minorHAnsi"/>
          <w:sz w:val="22"/>
          <w:szCs w:val="22"/>
        </w:rPr>
        <w:t xml:space="preserve"> of the little mermaid</w:t>
      </w:r>
      <w:r w:rsidR="00803985">
        <w:rPr>
          <w:rFonts w:cstheme="minorHAnsi"/>
          <w:sz w:val="22"/>
          <w:szCs w:val="22"/>
        </w:rPr>
        <w:t>’s voice</w:t>
      </w:r>
      <w:r w:rsidR="00E80E0E" w:rsidRPr="009F7D89">
        <w:rPr>
          <w:rFonts w:cstheme="minorHAnsi"/>
          <w:sz w:val="22"/>
          <w:szCs w:val="22"/>
        </w:rPr>
        <w:t xml:space="preserve">, but with the distinctiveness of </w:t>
      </w:r>
      <w:r w:rsidR="000E79D2">
        <w:rPr>
          <w:rFonts w:cstheme="minorHAnsi"/>
          <w:sz w:val="22"/>
          <w:szCs w:val="22"/>
        </w:rPr>
        <w:t xml:space="preserve">all </w:t>
      </w:r>
      <w:r w:rsidR="00E80E0E" w:rsidRPr="009F7D89">
        <w:rPr>
          <w:rFonts w:cstheme="minorHAnsi"/>
          <w:sz w:val="22"/>
          <w:szCs w:val="22"/>
        </w:rPr>
        <w:t xml:space="preserve">the </w:t>
      </w:r>
      <w:r w:rsidR="00EE6EA1">
        <w:rPr>
          <w:rFonts w:cstheme="minorHAnsi"/>
          <w:sz w:val="22"/>
          <w:szCs w:val="22"/>
        </w:rPr>
        <w:t>mermaids’</w:t>
      </w:r>
      <w:r w:rsidR="00EE6EA1" w:rsidRPr="009F7D89">
        <w:rPr>
          <w:rFonts w:cstheme="minorHAnsi"/>
          <w:sz w:val="22"/>
          <w:szCs w:val="22"/>
        </w:rPr>
        <w:t xml:space="preserve"> </w:t>
      </w:r>
      <w:r w:rsidR="00E80E0E" w:rsidRPr="009F7D89">
        <w:rPr>
          <w:rFonts w:cstheme="minorHAnsi"/>
          <w:sz w:val="22"/>
          <w:szCs w:val="22"/>
        </w:rPr>
        <w:t>voices</w:t>
      </w:r>
      <w:r w:rsidR="00803985">
        <w:rPr>
          <w:rFonts w:cstheme="minorHAnsi"/>
          <w:sz w:val="22"/>
          <w:szCs w:val="22"/>
        </w:rPr>
        <w:t xml:space="preserve">: </w:t>
      </w:r>
      <w:r w:rsidR="00E80E0E" w:rsidRPr="009F7D89">
        <w:rPr>
          <w:rFonts w:cstheme="minorHAnsi"/>
          <w:sz w:val="22"/>
          <w:szCs w:val="22"/>
        </w:rPr>
        <w:t>individual, other-worldly and, sadly, unintelligible to the sailors</w:t>
      </w:r>
      <w:r w:rsidR="000E79D2">
        <w:rPr>
          <w:rFonts w:cstheme="minorHAnsi"/>
          <w:sz w:val="22"/>
          <w:szCs w:val="22"/>
        </w:rPr>
        <w:t>.</w:t>
      </w:r>
    </w:p>
    <w:p w14:paraId="562467EC" w14:textId="3426D88E" w:rsidR="001053BA" w:rsidRDefault="001053BA" w:rsidP="001053BA">
      <w:pPr>
        <w:spacing w:line="360" w:lineRule="auto"/>
        <w:ind w:left="720"/>
        <w:rPr>
          <w:rFonts w:cstheme="minorHAnsi"/>
          <w:sz w:val="22"/>
          <w:szCs w:val="22"/>
        </w:rPr>
      </w:pPr>
      <w:r w:rsidRPr="001053BA">
        <w:rPr>
          <w:rFonts w:cstheme="minorHAnsi"/>
          <w:sz w:val="22"/>
          <w:szCs w:val="22"/>
        </w:rPr>
        <w:t>Many an evening the five sisters would take one another by the arm and swim in a row up to the surface of the water. They had lovely voices, more beautiful voices than any human voice, and when the wind was blowing up a gale and they thought ships might be lost, they would swim in front of the ships and sing so beautifully how lovely it was on the bottom of the sea</w:t>
      </w:r>
      <w:r w:rsidR="007D00EF">
        <w:rPr>
          <w:rFonts w:cstheme="minorHAnsi"/>
          <w:sz w:val="22"/>
          <w:szCs w:val="22"/>
        </w:rPr>
        <w:t xml:space="preserve"> and bid the sailors not to be afraid of coming down there.</w:t>
      </w:r>
      <w:r w:rsidRPr="001053BA">
        <w:rPr>
          <w:rFonts w:cstheme="minorHAnsi"/>
          <w:sz w:val="22"/>
          <w:szCs w:val="22"/>
        </w:rPr>
        <w:t xml:space="preserve"> But the men could not understand their words: they thought it was the gale they heard.</w:t>
      </w:r>
      <w:r w:rsidR="007D00EF">
        <w:rPr>
          <w:rStyle w:val="FootnoteReference"/>
          <w:rFonts w:cstheme="minorHAnsi"/>
          <w:sz w:val="22"/>
          <w:szCs w:val="22"/>
        </w:rPr>
        <w:footnoteReference w:id="9"/>
      </w:r>
    </w:p>
    <w:p w14:paraId="47D86226" w14:textId="77777777" w:rsidR="00E374E0" w:rsidRPr="009F7D89" w:rsidRDefault="00E374E0" w:rsidP="00E80E0E">
      <w:pPr>
        <w:spacing w:line="360" w:lineRule="auto"/>
        <w:rPr>
          <w:rFonts w:cstheme="minorHAnsi"/>
          <w:sz w:val="22"/>
          <w:szCs w:val="22"/>
        </w:rPr>
      </w:pPr>
    </w:p>
    <w:p w14:paraId="2A4B067B" w14:textId="0CC15946" w:rsidR="006760C8" w:rsidRDefault="00E80E0E" w:rsidP="00E80E0E">
      <w:pPr>
        <w:spacing w:line="360" w:lineRule="auto"/>
        <w:rPr>
          <w:rFonts w:cstheme="minorHAnsi"/>
          <w:sz w:val="22"/>
          <w:szCs w:val="22"/>
        </w:rPr>
      </w:pPr>
      <w:r w:rsidRPr="009F7D89">
        <w:rPr>
          <w:rFonts w:cstheme="minorHAnsi"/>
          <w:sz w:val="22"/>
          <w:szCs w:val="22"/>
        </w:rPr>
        <w:t>I’d suggest that</w:t>
      </w:r>
      <w:r w:rsidR="00D06AD7">
        <w:rPr>
          <w:rFonts w:cstheme="minorHAnsi"/>
          <w:sz w:val="22"/>
          <w:szCs w:val="22"/>
        </w:rPr>
        <w:t xml:space="preserve"> </w:t>
      </w:r>
      <w:r w:rsidR="00D06AD7">
        <w:rPr>
          <w:rFonts w:cstheme="minorHAnsi"/>
          <w:i/>
          <w:iCs/>
          <w:sz w:val="22"/>
          <w:szCs w:val="22"/>
        </w:rPr>
        <w:t>this</w:t>
      </w:r>
      <w:r w:rsidRPr="009F7D89">
        <w:rPr>
          <w:rFonts w:cstheme="minorHAnsi"/>
          <w:sz w:val="22"/>
          <w:szCs w:val="22"/>
        </w:rPr>
        <w:t xml:space="preserve"> too often has been fate of women judges</w:t>
      </w:r>
      <w:r w:rsidR="00D06AD7">
        <w:rPr>
          <w:rFonts w:cstheme="minorHAnsi"/>
          <w:sz w:val="22"/>
          <w:szCs w:val="22"/>
        </w:rPr>
        <w:t>. It is not that they have sold their distinctive voices</w:t>
      </w:r>
      <w:r w:rsidR="00B64F48">
        <w:rPr>
          <w:rFonts w:cstheme="minorHAnsi"/>
          <w:sz w:val="22"/>
          <w:szCs w:val="22"/>
        </w:rPr>
        <w:t>,</w:t>
      </w:r>
      <w:r w:rsidR="00D06AD7">
        <w:rPr>
          <w:rFonts w:cstheme="minorHAnsi"/>
          <w:sz w:val="22"/>
          <w:szCs w:val="22"/>
        </w:rPr>
        <w:t xml:space="preserve"> but</w:t>
      </w:r>
      <w:r w:rsidR="00B64F48">
        <w:rPr>
          <w:rFonts w:cstheme="minorHAnsi"/>
          <w:sz w:val="22"/>
          <w:szCs w:val="22"/>
        </w:rPr>
        <w:t xml:space="preserve"> rather</w:t>
      </w:r>
      <w:r w:rsidR="00D06AD7">
        <w:rPr>
          <w:rFonts w:cstheme="minorHAnsi"/>
          <w:sz w:val="22"/>
          <w:szCs w:val="22"/>
        </w:rPr>
        <w:t xml:space="preserve"> that</w:t>
      </w:r>
      <w:r w:rsidRPr="009F7D89">
        <w:rPr>
          <w:rFonts w:cstheme="minorHAnsi"/>
          <w:sz w:val="22"/>
          <w:szCs w:val="22"/>
        </w:rPr>
        <w:t xml:space="preserve"> they have inhabited a world where, in the words of Lady Hale, their male colleagues </w:t>
      </w:r>
      <w:r w:rsidR="00EE6EA1">
        <w:rPr>
          <w:rFonts w:cstheme="minorHAnsi"/>
          <w:sz w:val="22"/>
          <w:szCs w:val="22"/>
        </w:rPr>
        <w:t xml:space="preserve">have </w:t>
      </w:r>
      <w:r w:rsidRPr="009F7D89">
        <w:rPr>
          <w:rFonts w:cstheme="minorHAnsi"/>
          <w:sz w:val="22"/>
          <w:szCs w:val="22"/>
        </w:rPr>
        <w:t>‘mean</w:t>
      </w:r>
      <w:r w:rsidR="00EE6EA1">
        <w:rPr>
          <w:rFonts w:cstheme="minorHAnsi"/>
          <w:sz w:val="22"/>
          <w:szCs w:val="22"/>
        </w:rPr>
        <w:t>t</w:t>
      </w:r>
      <w:r w:rsidRPr="009F7D89">
        <w:rPr>
          <w:rFonts w:cstheme="minorHAnsi"/>
          <w:sz w:val="22"/>
          <w:szCs w:val="22"/>
        </w:rPr>
        <w:t xml:space="preserve"> well’ but ‘simply </w:t>
      </w:r>
      <w:r w:rsidR="00EE6EA1">
        <w:rPr>
          <w:rFonts w:cstheme="minorHAnsi"/>
          <w:sz w:val="22"/>
          <w:szCs w:val="22"/>
        </w:rPr>
        <w:t>[did]</w:t>
      </w:r>
      <w:r w:rsidR="00EE6EA1" w:rsidRPr="009F7D89">
        <w:rPr>
          <w:rFonts w:cstheme="minorHAnsi"/>
          <w:sz w:val="22"/>
          <w:szCs w:val="22"/>
        </w:rPr>
        <w:t xml:space="preserve"> </w:t>
      </w:r>
      <w:r w:rsidRPr="009F7D89">
        <w:rPr>
          <w:rFonts w:cstheme="minorHAnsi"/>
          <w:sz w:val="22"/>
          <w:szCs w:val="22"/>
        </w:rPr>
        <w:t>not know what to do with us or how to interpret what we say’.</w:t>
      </w:r>
      <w:r w:rsidR="006C0DCA">
        <w:rPr>
          <w:rStyle w:val="FootnoteReference"/>
          <w:rFonts w:cstheme="minorHAnsi"/>
          <w:sz w:val="22"/>
          <w:szCs w:val="22"/>
        </w:rPr>
        <w:footnoteReference w:id="10"/>
      </w:r>
      <w:r w:rsidRPr="009F7D89">
        <w:rPr>
          <w:rFonts w:cstheme="minorHAnsi"/>
          <w:sz w:val="22"/>
          <w:szCs w:val="22"/>
        </w:rPr>
        <w:t xml:space="preserve"> I would point out that</w:t>
      </w:r>
      <w:r w:rsidR="00060FE5">
        <w:rPr>
          <w:rFonts w:cstheme="minorHAnsi"/>
          <w:sz w:val="22"/>
          <w:szCs w:val="22"/>
        </w:rPr>
        <w:t>,</w:t>
      </w:r>
      <w:r w:rsidRPr="009F7D89">
        <w:rPr>
          <w:rFonts w:cstheme="minorHAnsi"/>
          <w:sz w:val="22"/>
          <w:szCs w:val="22"/>
        </w:rPr>
        <w:t xml:space="preserve"> like</w:t>
      </w:r>
      <w:r w:rsidR="00732A25">
        <w:rPr>
          <w:rFonts w:cstheme="minorHAnsi"/>
          <w:sz w:val="22"/>
          <w:szCs w:val="22"/>
        </w:rPr>
        <w:t xml:space="preserve"> the</w:t>
      </w:r>
      <w:r w:rsidRPr="009F7D89">
        <w:rPr>
          <w:rFonts w:cstheme="minorHAnsi"/>
          <w:sz w:val="22"/>
          <w:szCs w:val="22"/>
        </w:rPr>
        <w:t xml:space="preserve"> ‘pretty little children</w:t>
      </w:r>
      <w:r w:rsidR="006C0DCA">
        <w:rPr>
          <w:rFonts w:cstheme="minorHAnsi"/>
          <w:sz w:val="22"/>
          <w:szCs w:val="22"/>
        </w:rPr>
        <w:t>’</w:t>
      </w:r>
      <w:r w:rsidR="00DE233F">
        <w:rPr>
          <w:rFonts w:cstheme="minorHAnsi"/>
          <w:sz w:val="22"/>
          <w:szCs w:val="22"/>
        </w:rPr>
        <w:t xml:space="preserve"> in Andersen’s tale</w:t>
      </w:r>
      <w:r w:rsidRPr="009F7D89">
        <w:rPr>
          <w:rFonts w:cstheme="minorHAnsi"/>
          <w:sz w:val="22"/>
          <w:szCs w:val="22"/>
        </w:rPr>
        <w:t xml:space="preserve"> </w:t>
      </w:r>
      <w:r w:rsidR="006C0DCA">
        <w:rPr>
          <w:rFonts w:cstheme="minorHAnsi"/>
          <w:sz w:val="22"/>
          <w:szCs w:val="22"/>
        </w:rPr>
        <w:t>‘</w:t>
      </w:r>
      <w:r w:rsidRPr="009F7D89">
        <w:rPr>
          <w:rFonts w:cstheme="minorHAnsi"/>
          <w:sz w:val="22"/>
          <w:szCs w:val="22"/>
        </w:rPr>
        <w:t>who swim in the water, even though they</w:t>
      </w:r>
      <w:r w:rsidR="006C0DCA">
        <w:rPr>
          <w:rFonts w:cstheme="minorHAnsi"/>
          <w:sz w:val="22"/>
          <w:szCs w:val="22"/>
        </w:rPr>
        <w:t xml:space="preserve"> … [do not have]</w:t>
      </w:r>
      <w:r w:rsidRPr="009F7D89">
        <w:rPr>
          <w:rFonts w:cstheme="minorHAnsi"/>
          <w:sz w:val="22"/>
          <w:szCs w:val="22"/>
        </w:rPr>
        <w:t xml:space="preserve"> fish’s tails’</w:t>
      </w:r>
      <w:r w:rsidR="00DE233F">
        <w:rPr>
          <w:rFonts w:cstheme="minorHAnsi"/>
          <w:sz w:val="22"/>
          <w:szCs w:val="22"/>
        </w:rPr>
        <w:t xml:space="preserve">, </w:t>
      </w:r>
      <w:r w:rsidRPr="009F7D89">
        <w:rPr>
          <w:rFonts w:cstheme="minorHAnsi"/>
          <w:sz w:val="22"/>
          <w:szCs w:val="22"/>
        </w:rPr>
        <w:t>the sailors and mermaids have more in common that we might think. I would point out that</w:t>
      </w:r>
      <w:r w:rsidR="00A522B0">
        <w:rPr>
          <w:rFonts w:cstheme="minorHAnsi"/>
          <w:sz w:val="22"/>
          <w:szCs w:val="22"/>
        </w:rPr>
        <w:t xml:space="preserve"> </w:t>
      </w:r>
      <w:r w:rsidR="00A522B0" w:rsidRPr="00A522B0">
        <w:rPr>
          <w:rFonts w:cstheme="minorHAnsi"/>
          <w:sz w:val="22"/>
          <w:szCs w:val="22"/>
        </w:rPr>
        <w:t xml:space="preserve">while </w:t>
      </w:r>
      <w:r w:rsidR="00EE6EA1">
        <w:rPr>
          <w:rFonts w:cstheme="minorHAnsi"/>
          <w:sz w:val="22"/>
          <w:szCs w:val="22"/>
        </w:rPr>
        <w:t>each</w:t>
      </w:r>
      <w:r w:rsidR="00EE6EA1" w:rsidRPr="00A522B0">
        <w:rPr>
          <w:rFonts w:cstheme="minorHAnsi"/>
          <w:sz w:val="22"/>
          <w:szCs w:val="22"/>
        </w:rPr>
        <w:t xml:space="preserve"> </w:t>
      </w:r>
      <w:r w:rsidR="00A522B0" w:rsidRPr="00A522B0">
        <w:rPr>
          <w:rFonts w:cstheme="minorHAnsi"/>
          <w:sz w:val="22"/>
          <w:szCs w:val="22"/>
        </w:rPr>
        <w:t>wom</w:t>
      </w:r>
      <w:r w:rsidR="00EE6EA1">
        <w:rPr>
          <w:rFonts w:cstheme="minorHAnsi"/>
          <w:sz w:val="22"/>
          <w:szCs w:val="22"/>
        </w:rPr>
        <w:t>a</w:t>
      </w:r>
      <w:r w:rsidR="00A522B0" w:rsidRPr="00A522B0">
        <w:rPr>
          <w:rFonts w:cstheme="minorHAnsi"/>
          <w:sz w:val="22"/>
          <w:szCs w:val="22"/>
        </w:rPr>
        <w:t>n judge, like the little mermaid, may have her distinct voice, this is no less true of everyone else</w:t>
      </w:r>
      <w:r w:rsidR="00EE6EA1">
        <w:rPr>
          <w:rFonts w:cstheme="minorHAnsi"/>
          <w:sz w:val="22"/>
          <w:szCs w:val="22"/>
        </w:rPr>
        <w:t xml:space="preserve">. </w:t>
      </w:r>
      <w:r w:rsidR="007D00EF">
        <w:rPr>
          <w:rFonts w:cstheme="minorHAnsi"/>
          <w:sz w:val="22"/>
          <w:szCs w:val="22"/>
        </w:rPr>
        <w:t>W</w:t>
      </w:r>
      <w:r w:rsidR="00A522B0" w:rsidRPr="00A522B0">
        <w:rPr>
          <w:rFonts w:cstheme="minorHAnsi"/>
          <w:sz w:val="22"/>
          <w:szCs w:val="22"/>
        </w:rPr>
        <w:t>e are all distinctive</w:t>
      </w:r>
      <w:r w:rsidR="00A522B0">
        <w:rPr>
          <w:rFonts w:cstheme="minorHAnsi"/>
          <w:sz w:val="22"/>
          <w:szCs w:val="22"/>
        </w:rPr>
        <w:t xml:space="preserve">. Like </w:t>
      </w:r>
      <w:r w:rsidRPr="009F7D89">
        <w:rPr>
          <w:rFonts w:cstheme="minorHAnsi"/>
          <w:sz w:val="22"/>
          <w:szCs w:val="22"/>
        </w:rPr>
        <w:t>all the characters in Andersen’s tale, we are all shaped by our experiences and background. That all judges, whatever their gender, bring their distinctive voices and insights to their judging and that these are informed by who they are</w:t>
      </w:r>
      <w:r w:rsidR="00EE6EA1">
        <w:rPr>
          <w:rFonts w:cstheme="minorHAnsi"/>
          <w:sz w:val="22"/>
          <w:szCs w:val="22"/>
        </w:rPr>
        <w:t>,</w:t>
      </w:r>
      <w:r w:rsidRPr="009F7D89">
        <w:rPr>
          <w:rFonts w:cstheme="minorHAnsi"/>
          <w:sz w:val="22"/>
          <w:szCs w:val="22"/>
        </w:rPr>
        <w:t xml:space="preserve"> where they’ve visited, what they’ve </w:t>
      </w:r>
      <w:r w:rsidRPr="009F7D89">
        <w:rPr>
          <w:rFonts w:cstheme="minorHAnsi"/>
          <w:sz w:val="22"/>
          <w:szCs w:val="22"/>
        </w:rPr>
        <w:lastRenderedPageBreak/>
        <w:t xml:space="preserve">seen, who they’ve talked with, as well as their intersecting identity characteristics. And I would </w:t>
      </w:r>
      <w:r w:rsidR="007D00EF">
        <w:rPr>
          <w:rFonts w:cstheme="minorHAnsi"/>
          <w:sz w:val="22"/>
          <w:szCs w:val="22"/>
        </w:rPr>
        <w:t>argue</w:t>
      </w:r>
      <w:r w:rsidRPr="009F7D89">
        <w:rPr>
          <w:rFonts w:cstheme="minorHAnsi"/>
          <w:sz w:val="22"/>
          <w:szCs w:val="22"/>
        </w:rPr>
        <w:t xml:space="preserve"> that the judicial product is better for it.</w:t>
      </w:r>
      <w:r w:rsidR="00803985">
        <w:rPr>
          <w:rStyle w:val="FootnoteReference"/>
          <w:rFonts w:cstheme="minorHAnsi"/>
          <w:sz w:val="22"/>
          <w:szCs w:val="22"/>
        </w:rPr>
        <w:footnoteReference w:id="11"/>
      </w:r>
      <w:r w:rsidRPr="009F7D89">
        <w:rPr>
          <w:rFonts w:cstheme="minorHAnsi"/>
          <w:sz w:val="22"/>
          <w:szCs w:val="22"/>
        </w:rPr>
        <w:t xml:space="preserve"> </w:t>
      </w:r>
    </w:p>
    <w:p w14:paraId="5B75023C" w14:textId="77777777" w:rsidR="00E80E0E" w:rsidRPr="009F7D89" w:rsidRDefault="00E80E0E" w:rsidP="00E80E0E">
      <w:pPr>
        <w:spacing w:line="360" w:lineRule="auto"/>
        <w:rPr>
          <w:rFonts w:cstheme="minorHAnsi"/>
          <w:sz w:val="22"/>
          <w:szCs w:val="22"/>
        </w:rPr>
      </w:pPr>
    </w:p>
    <w:p w14:paraId="51A94A98" w14:textId="76B9A9A2" w:rsidR="00803985" w:rsidRDefault="00E80E0E" w:rsidP="00E80E0E">
      <w:pPr>
        <w:spacing w:line="360" w:lineRule="auto"/>
        <w:rPr>
          <w:rFonts w:cstheme="minorHAnsi"/>
          <w:sz w:val="22"/>
          <w:szCs w:val="22"/>
        </w:rPr>
      </w:pPr>
      <w:r w:rsidRPr="009F7D89">
        <w:rPr>
          <w:rFonts w:cstheme="minorHAnsi"/>
          <w:sz w:val="22"/>
          <w:szCs w:val="22"/>
        </w:rPr>
        <w:t xml:space="preserve">I’d go on to warn against focusing on individual heroines – </w:t>
      </w:r>
      <w:r w:rsidR="006760C8">
        <w:rPr>
          <w:rFonts w:cstheme="minorHAnsi"/>
          <w:sz w:val="22"/>
          <w:szCs w:val="22"/>
        </w:rPr>
        <w:t xml:space="preserve">mermaid or human, </w:t>
      </w:r>
      <w:proofErr w:type="gramStart"/>
      <w:r w:rsidRPr="009F7D89">
        <w:rPr>
          <w:rFonts w:cstheme="minorHAnsi"/>
          <w:sz w:val="22"/>
          <w:szCs w:val="22"/>
        </w:rPr>
        <w:t>fictional</w:t>
      </w:r>
      <w:proofErr w:type="gramEnd"/>
      <w:r w:rsidRPr="009F7D89">
        <w:rPr>
          <w:rFonts w:cstheme="minorHAnsi"/>
          <w:sz w:val="22"/>
          <w:szCs w:val="22"/>
        </w:rPr>
        <w:t xml:space="preserve"> or otherwise</w:t>
      </w:r>
      <w:r w:rsidR="006760C8">
        <w:rPr>
          <w:rFonts w:cstheme="minorHAnsi"/>
          <w:sz w:val="22"/>
          <w:szCs w:val="22"/>
        </w:rPr>
        <w:t>.</w:t>
      </w:r>
      <w:r w:rsidR="006C0DCA">
        <w:rPr>
          <w:rStyle w:val="FootnoteReference"/>
          <w:rFonts w:cstheme="minorHAnsi"/>
          <w:sz w:val="22"/>
          <w:szCs w:val="22"/>
        </w:rPr>
        <w:footnoteReference w:id="12"/>
      </w:r>
      <w:r w:rsidRPr="009F7D89">
        <w:rPr>
          <w:rFonts w:cstheme="minorHAnsi"/>
          <w:sz w:val="22"/>
          <w:szCs w:val="22"/>
        </w:rPr>
        <w:t xml:space="preserve"> </w:t>
      </w:r>
      <w:r w:rsidR="00D06AD7">
        <w:rPr>
          <w:rFonts w:cstheme="minorHAnsi"/>
          <w:sz w:val="22"/>
          <w:szCs w:val="22"/>
        </w:rPr>
        <w:t>I’d suggest t</w:t>
      </w:r>
      <w:r w:rsidRPr="009F7D89">
        <w:rPr>
          <w:rFonts w:cstheme="minorHAnsi"/>
          <w:sz w:val="22"/>
          <w:szCs w:val="22"/>
        </w:rPr>
        <w:t>hat allowing our heroines to be seen as lone voices instead of representative</w:t>
      </w:r>
      <w:r w:rsidR="00E1541A">
        <w:rPr>
          <w:rFonts w:cstheme="minorHAnsi"/>
          <w:sz w:val="22"/>
          <w:szCs w:val="22"/>
        </w:rPr>
        <w:t>s</w:t>
      </w:r>
      <w:r w:rsidRPr="009F7D89">
        <w:rPr>
          <w:rFonts w:cstheme="minorHAnsi"/>
          <w:sz w:val="22"/>
          <w:szCs w:val="22"/>
        </w:rPr>
        <w:t xml:space="preserve"> of a mass movement, as people who are exceptional and personally courageous rather than carried along by a host of supporters, is to fall into the trap history has set for us. I would write about how reducing the struggle</w:t>
      </w:r>
      <w:r w:rsidR="006760C8">
        <w:rPr>
          <w:rFonts w:cstheme="minorHAnsi"/>
          <w:sz w:val="22"/>
          <w:szCs w:val="22"/>
        </w:rPr>
        <w:t xml:space="preserve"> for justice</w:t>
      </w:r>
      <w:r w:rsidRPr="009F7D89">
        <w:rPr>
          <w:rFonts w:cstheme="minorHAnsi"/>
          <w:sz w:val="22"/>
          <w:szCs w:val="22"/>
        </w:rPr>
        <w:t xml:space="preserve"> to the success (or failure) of an individual’s effort risks discouraging later generations from forming alliances which</w:t>
      </w:r>
      <w:r w:rsidR="00E1541A">
        <w:rPr>
          <w:rFonts w:cstheme="minorHAnsi"/>
          <w:sz w:val="22"/>
          <w:szCs w:val="22"/>
        </w:rPr>
        <w:t xml:space="preserve"> would</w:t>
      </w:r>
      <w:r w:rsidRPr="009F7D89">
        <w:rPr>
          <w:rFonts w:cstheme="minorHAnsi"/>
          <w:sz w:val="22"/>
          <w:szCs w:val="22"/>
        </w:rPr>
        <w:t xml:space="preserve"> more effectively challenge the status quo, as well as creating a lighting-rod for our disappointments. I would point out that, like Andersen’s mermaids, women </w:t>
      </w:r>
      <w:proofErr w:type="gramStart"/>
      <w:r w:rsidRPr="009F7D89">
        <w:rPr>
          <w:rFonts w:cstheme="minorHAnsi"/>
          <w:sz w:val="22"/>
          <w:szCs w:val="22"/>
        </w:rPr>
        <w:t>judges</w:t>
      </w:r>
      <w:proofErr w:type="gramEnd"/>
      <w:r w:rsidRPr="009F7D89">
        <w:rPr>
          <w:rFonts w:cstheme="minorHAnsi"/>
          <w:sz w:val="22"/>
          <w:szCs w:val="22"/>
        </w:rPr>
        <w:t xml:space="preserve"> rarely (if ever) act alone – even when they’re the only woman on a given bench.</w:t>
      </w:r>
      <w:r w:rsidR="007D00EF">
        <w:rPr>
          <w:rStyle w:val="FootnoteReference"/>
          <w:rFonts w:cstheme="minorHAnsi"/>
          <w:sz w:val="22"/>
          <w:szCs w:val="22"/>
        </w:rPr>
        <w:footnoteReference w:id="13"/>
      </w:r>
      <w:r w:rsidRPr="009F7D89">
        <w:rPr>
          <w:rFonts w:cstheme="minorHAnsi"/>
          <w:sz w:val="22"/>
          <w:szCs w:val="22"/>
        </w:rPr>
        <w:t xml:space="preserve"> I would write about how from the outset women judges have relied on and worked together within networks of family, friends and political allies</w:t>
      </w:r>
      <w:r w:rsidR="00EE6EA1">
        <w:rPr>
          <w:rFonts w:cstheme="minorHAnsi"/>
          <w:sz w:val="22"/>
          <w:szCs w:val="22"/>
        </w:rPr>
        <w:t xml:space="preserve">. </w:t>
      </w:r>
      <w:r w:rsidR="006C0DCA">
        <w:rPr>
          <w:rFonts w:cstheme="minorHAnsi"/>
          <w:sz w:val="22"/>
          <w:szCs w:val="22"/>
        </w:rPr>
        <w:t>About how</w:t>
      </w:r>
      <w:r w:rsidRPr="009F7D89">
        <w:rPr>
          <w:rFonts w:cstheme="minorHAnsi"/>
          <w:sz w:val="22"/>
          <w:szCs w:val="22"/>
        </w:rPr>
        <w:t xml:space="preserve"> for every </w:t>
      </w:r>
      <w:r w:rsidR="00613AC7">
        <w:rPr>
          <w:rFonts w:cstheme="minorHAnsi"/>
          <w:sz w:val="22"/>
          <w:szCs w:val="22"/>
        </w:rPr>
        <w:t xml:space="preserve">Rose </w:t>
      </w:r>
      <w:proofErr w:type="spellStart"/>
      <w:r w:rsidR="00613AC7">
        <w:rPr>
          <w:rFonts w:cstheme="minorHAnsi"/>
          <w:sz w:val="22"/>
          <w:szCs w:val="22"/>
        </w:rPr>
        <w:t>Heilbron</w:t>
      </w:r>
      <w:proofErr w:type="spellEnd"/>
      <w:r w:rsidRPr="009F7D89">
        <w:rPr>
          <w:rFonts w:cstheme="minorHAnsi"/>
          <w:sz w:val="22"/>
          <w:szCs w:val="22"/>
        </w:rPr>
        <w:t>,</w:t>
      </w:r>
      <w:r w:rsidR="00CF0AAE">
        <w:rPr>
          <w:rStyle w:val="FootnoteReference"/>
          <w:rFonts w:cstheme="minorHAnsi"/>
          <w:sz w:val="22"/>
          <w:szCs w:val="22"/>
        </w:rPr>
        <w:footnoteReference w:id="14"/>
      </w:r>
      <w:r w:rsidRPr="009F7D89">
        <w:rPr>
          <w:rFonts w:cstheme="minorHAnsi"/>
          <w:sz w:val="22"/>
          <w:szCs w:val="22"/>
        </w:rPr>
        <w:t xml:space="preserve"> Nina Lowry,</w:t>
      </w:r>
      <w:r w:rsidR="00CF0AAE">
        <w:rPr>
          <w:rStyle w:val="FootnoteReference"/>
          <w:rFonts w:cstheme="minorHAnsi"/>
          <w:sz w:val="22"/>
          <w:szCs w:val="22"/>
        </w:rPr>
        <w:footnoteReference w:id="15"/>
      </w:r>
      <w:r w:rsidRPr="009F7D89">
        <w:rPr>
          <w:rFonts w:cstheme="minorHAnsi"/>
          <w:sz w:val="22"/>
          <w:szCs w:val="22"/>
        </w:rPr>
        <w:t xml:space="preserve"> and Lady Hale </w:t>
      </w:r>
      <w:r w:rsidRPr="00A522B0">
        <w:rPr>
          <w:rFonts w:cstheme="minorHAnsi"/>
          <w:sz w:val="22"/>
          <w:szCs w:val="22"/>
        </w:rPr>
        <w:t>there are many others who are less familiar</w:t>
      </w:r>
      <w:r w:rsidR="00C31D48">
        <w:rPr>
          <w:rFonts w:cstheme="minorHAnsi"/>
          <w:sz w:val="22"/>
          <w:szCs w:val="22"/>
        </w:rPr>
        <w:t>,</w:t>
      </w:r>
      <w:r w:rsidRPr="00A522B0">
        <w:rPr>
          <w:rFonts w:cstheme="minorHAnsi"/>
          <w:sz w:val="22"/>
          <w:szCs w:val="22"/>
        </w:rPr>
        <w:t xml:space="preserve"> or not known at all. Women who came at the same time, or too early, or too late. I would write about </w:t>
      </w:r>
      <w:r w:rsidR="00A522B0" w:rsidRPr="00A522B0">
        <w:rPr>
          <w:rFonts w:cstheme="minorHAnsi"/>
          <w:sz w:val="22"/>
          <w:szCs w:val="22"/>
        </w:rPr>
        <w:t xml:space="preserve">how </w:t>
      </w:r>
      <w:r w:rsidRPr="00A522B0">
        <w:rPr>
          <w:rFonts w:cstheme="minorHAnsi"/>
          <w:sz w:val="22"/>
          <w:szCs w:val="22"/>
        </w:rPr>
        <w:t xml:space="preserve">women’s progress </w:t>
      </w:r>
      <w:r w:rsidR="00803985">
        <w:rPr>
          <w:rFonts w:cstheme="minorHAnsi"/>
          <w:sz w:val="22"/>
          <w:szCs w:val="22"/>
        </w:rPr>
        <w:t xml:space="preserve">into the legal profession and </w:t>
      </w:r>
      <w:r w:rsidRPr="00A522B0">
        <w:rPr>
          <w:rFonts w:cstheme="minorHAnsi"/>
          <w:sz w:val="22"/>
          <w:szCs w:val="22"/>
        </w:rPr>
        <w:t>onto the bench</w:t>
      </w:r>
      <w:r w:rsidR="00A522B0" w:rsidRPr="00A522B0">
        <w:rPr>
          <w:rFonts w:cstheme="minorHAnsi"/>
          <w:sz w:val="22"/>
          <w:szCs w:val="22"/>
        </w:rPr>
        <w:t xml:space="preserve"> </w:t>
      </w:r>
      <w:r w:rsidRPr="00A522B0">
        <w:rPr>
          <w:rFonts w:cstheme="minorHAnsi"/>
          <w:sz w:val="22"/>
          <w:szCs w:val="22"/>
        </w:rPr>
        <w:t>followed decades of resistance, of small steps forward and bigger steps backwards.</w:t>
      </w:r>
      <w:r w:rsidR="00803985">
        <w:rPr>
          <w:rStyle w:val="FootnoteReference"/>
          <w:rFonts w:cstheme="minorHAnsi"/>
          <w:sz w:val="22"/>
          <w:szCs w:val="22"/>
        </w:rPr>
        <w:footnoteReference w:id="16"/>
      </w:r>
      <w:r w:rsidRPr="00A522B0">
        <w:rPr>
          <w:rFonts w:cstheme="minorHAnsi"/>
          <w:sz w:val="22"/>
          <w:szCs w:val="22"/>
        </w:rPr>
        <w:t xml:space="preserve"> I’d write about how hard-won gains are easily lost as momentum and focus shifts elsewhere and </w:t>
      </w:r>
      <w:r w:rsidR="00803985">
        <w:rPr>
          <w:rFonts w:cstheme="minorHAnsi"/>
          <w:sz w:val="22"/>
          <w:szCs w:val="22"/>
        </w:rPr>
        <w:t xml:space="preserve">about </w:t>
      </w:r>
      <w:r w:rsidRPr="00A522B0">
        <w:rPr>
          <w:rFonts w:cstheme="minorHAnsi"/>
          <w:sz w:val="22"/>
          <w:szCs w:val="22"/>
        </w:rPr>
        <w:t>how advances were often followed by a backlash, as men attempted to re-assert</w:t>
      </w:r>
      <w:r w:rsidRPr="009F7D89">
        <w:rPr>
          <w:rFonts w:cstheme="minorHAnsi"/>
          <w:sz w:val="22"/>
          <w:szCs w:val="22"/>
        </w:rPr>
        <w:t xml:space="preserve"> the control they had formerly enjoyed.</w:t>
      </w:r>
      <w:r w:rsidR="007D00EF">
        <w:rPr>
          <w:rStyle w:val="FootnoteReference"/>
          <w:rFonts w:cstheme="minorHAnsi"/>
          <w:sz w:val="22"/>
          <w:szCs w:val="22"/>
        </w:rPr>
        <w:footnoteReference w:id="17"/>
      </w:r>
      <w:r w:rsidRPr="009F7D89">
        <w:rPr>
          <w:rFonts w:cstheme="minorHAnsi"/>
          <w:sz w:val="22"/>
          <w:szCs w:val="22"/>
        </w:rPr>
        <w:t xml:space="preserve"> I’d write about how this isn’t unique to the</w:t>
      </w:r>
      <w:r w:rsidR="006C0DCA">
        <w:rPr>
          <w:rFonts w:cstheme="minorHAnsi"/>
          <w:sz w:val="22"/>
          <w:szCs w:val="22"/>
        </w:rPr>
        <w:t xml:space="preserve"> judiciary or</w:t>
      </w:r>
      <w:r w:rsidRPr="009F7D89">
        <w:rPr>
          <w:rFonts w:cstheme="minorHAnsi"/>
          <w:sz w:val="22"/>
          <w:szCs w:val="22"/>
        </w:rPr>
        <w:t xml:space="preserve"> law but is mirrored in many walks of life. And I’d argue that, for these reasons, the endeavour of a (feminist) legal history is more important than ever.</w:t>
      </w:r>
      <w:r w:rsidR="006C0DCA">
        <w:rPr>
          <w:rStyle w:val="FootnoteReference"/>
          <w:rFonts w:cstheme="minorHAnsi"/>
          <w:sz w:val="22"/>
          <w:szCs w:val="22"/>
        </w:rPr>
        <w:footnoteReference w:id="18"/>
      </w:r>
      <w:r w:rsidRPr="009F7D89">
        <w:rPr>
          <w:rFonts w:cstheme="minorHAnsi"/>
          <w:sz w:val="22"/>
          <w:szCs w:val="22"/>
        </w:rPr>
        <w:t xml:space="preserve"> </w:t>
      </w:r>
    </w:p>
    <w:p w14:paraId="12C6AD5B" w14:textId="77777777" w:rsidR="00803985" w:rsidRDefault="00803985" w:rsidP="00E80E0E">
      <w:pPr>
        <w:spacing w:line="360" w:lineRule="auto"/>
        <w:rPr>
          <w:rFonts w:cstheme="minorHAnsi"/>
          <w:sz w:val="22"/>
          <w:szCs w:val="22"/>
        </w:rPr>
      </w:pPr>
    </w:p>
    <w:p w14:paraId="7AF7C5A1" w14:textId="49E5DD51" w:rsidR="00703F32" w:rsidRDefault="00C31D48" w:rsidP="00E80E0E">
      <w:pPr>
        <w:spacing w:line="360" w:lineRule="auto"/>
        <w:rPr>
          <w:rFonts w:cstheme="minorHAnsi"/>
          <w:sz w:val="22"/>
          <w:szCs w:val="22"/>
        </w:rPr>
      </w:pPr>
      <w:r>
        <w:rPr>
          <w:rFonts w:cstheme="minorHAnsi"/>
          <w:sz w:val="22"/>
          <w:szCs w:val="22"/>
        </w:rPr>
        <w:t>And i</w:t>
      </w:r>
      <w:r w:rsidR="002842F8">
        <w:rPr>
          <w:rFonts w:cstheme="minorHAnsi"/>
          <w:sz w:val="22"/>
          <w:szCs w:val="22"/>
        </w:rPr>
        <w:t>n</w:t>
      </w:r>
      <w:r w:rsidR="00EE6EA1">
        <w:rPr>
          <w:rFonts w:cstheme="minorHAnsi"/>
          <w:sz w:val="22"/>
          <w:szCs w:val="22"/>
        </w:rPr>
        <w:t xml:space="preserve"> doing</w:t>
      </w:r>
      <w:r w:rsidR="00B64F48">
        <w:rPr>
          <w:rFonts w:cstheme="minorHAnsi"/>
          <w:sz w:val="22"/>
          <w:szCs w:val="22"/>
        </w:rPr>
        <w:t xml:space="preserve"> all</w:t>
      </w:r>
      <w:r w:rsidR="00EE6EA1">
        <w:rPr>
          <w:rFonts w:cstheme="minorHAnsi"/>
          <w:sz w:val="22"/>
          <w:szCs w:val="22"/>
        </w:rPr>
        <w:t xml:space="preserve"> this</w:t>
      </w:r>
      <w:r w:rsidR="00E65F91">
        <w:rPr>
          <w:rFonts w:cstheme="minorHAnsi"/>
          <w:sz w:val="22"/>
          <w:szCs w:val="22"/>
        </w:rPr>
        <w:t>,</w:t>
      </w:r>
      <w:r w:rsidR="006760C8">
        <w:rPr>
          <w:rFonts w:cstheme="minorHAnsi"/>
          <w:sz w:val="22"/>
          <w:szCs w:val="22"/>
        </w:rPr>
        <w:t xml:space="preserve"> I would</w:t>
      </w:r>
      <w:r w:rsidR="00E80E0E" w:rsidRPr="009F7D89">
        <w:rPr>
          <w:rFonts w:cstheme="minorHAnsi"/>
          <w:sz w:val="22"/>
          <w:szCs w:val="22"/>
        </w:rPr>
        <w:t xml:space="preserve"> imagine the grandmother’s story</w:t>
      </w:r>
      <w:r w:rsidR="00E65F91">
        <w:rPr>
          <w:rFonts w:cstheme="minorHAnsi"/>
          <w:sz w:val="22"/>
          <w:szCs w:val="22"/>
        </w:rPr>
        <w:t xml:space="preserve">. </w:t>
      </w:r>
      <w:r w:rsidR="007D00EF">
        <w:rPr>
          <w:rFonts w:cstheme="minorHAnsi"/>
          <w:sz w:val="22"/>
          <w:szCs w:val="22"/>
        </w:rPr>
        <w:t>I</w:t>
      </w:r>
      <w:r w:rsidR="00E65F91">
        <w:rPr>
          <w:rFonts w:cstheme="minorHAnsi"/>
          <w:sz w:val="22"/>
          <w:szCs w:val="22"/>
        </w:rPr>
        <w:t xml:space="preserve"> would tell</w:t>
      </w:r>
      <w:r w:rsidR="00E80E0E" w:rsidRPr="009F7D89">
        <w:rPr>
          <w:rFonts w:cstheme="minorHAnsi"/>
          <w:sz w:val="22"/>
          <w:szCs w:val="22"/>
        </w:rPr>
        <w:t xml:space="preserve"> how she came to know so much about the lands above </w:t>
      </w:r>
      <w:r w:rsidR="00E80E0E" w:rsidRPr="00A522B0">
        <w:rPr>
          <w:rFonts w:cstheme="minorHAnsi"/>
          <w:sz w:val="22"/>
          <w:szCs w:val="22"/>
        </w:rPr>
        <w:t xml:space="preserve">the </w:t>
      </w:r>
      <w:r w:rsidR="00E65F91" w:rsidRPr="00A522B0">
        <w:rPr>
          <w:rFonts w:cstheme="minorHAnsi"/>
          <w:sz w:val="22"/>
          <w:szCs w:val="22"/>
        </w:rPr>
        <w:t>sea</w:t>
      </w:r>
      <w:r w:rsidR="00627FF3">
        <w:rPr>
          <w:rFonts w:cstheme="minorHAnsi"/>
          <w:sz w:val="22"/>
          <w:szCs w:val="22"/>
        </w:rPr>
        <w:t xml:space="preserve"> and </w:t>
      </w:r>
      <w:r w:rsidR="009959D0">
        <w:rPr>
          <w:rFonts w:cstheme="minorHAnsi"/>
          <w:sz w:val="22"/>
          <w:szCs w:val="22"/>
        </w:rPr>
        <w:t xml:space="preserve">make clear the importance of </w:t>
      </w:r>
      <w:r w:rsidR="009959D0" w:rsidRPr="00A522B0">
        <w:rPr>
          <w:rFonts w:cstheme="minorHAnsi"/>
          <w:sz w:val="22"/>
          <w:szCs w:val="22"/>
        </w:rPr>
        <w:t>acknowledg</w:t>
      </w:r>
      <w:r w:rsidR="009959D0">
        <w:rPr>
          <w:rFonts w:cstheme="minorHAnsi"/>
          <w:sz w:val="22"/>
          <w:szCs w:val="22"/>
        </w:rPr>
        <w:t>e</w:t>
      </w:r>
      <w:r w:rsidR="009959D0" w:rsidRPr="00A522B0">
        <w:rPr>
          <w:rFonts w:cstheme="minorHAnsi"/>
          <w:sz w:val="22"/>
          <w:szCs w:val="22"/>
        </w:rPr>
        <w:t xml:space="preserve"> and celebrat</w:t>
      </w:r>
      <w:r w:rsidR="009959D0">
        <w:rPr>
          <w:rFonts w:cstheme="minorHAnsi"/>
          <w:sz w:val="22"/>
          <w:szCs w:val="22"/>
        </w:rPr>
        <w:t>ing</w:t>
      </w:r>
      <w:r w:rsidR="009959D0" w:rsidRPr="00A522B0">
        <w:rPr>
          <w:rFonts w:cstheme="minorHAnsi"/>
          <w:sz w:val="22"/>
          <w:szCs w:val="22"/>
        </w:rPr>
        <w:t xml:space="preserve"> the many women and feminists who we stand alongside and</w:t>
      </w:r>
      <w:r w:rsidR="009959D0" w:rsidRPr="009F7D89">
        <w:rPr>
          <w:rFonts w:cstheme="minorHAnsi"/>
          <w:sz w:val="22"/>
          <w:szCs w:val="22"/>
        </w:rPr>
        <w:t xml:space="preserve"> on whose shoulders we stand</w:t>
      </w:r>
      <w:r w:rsidR="00E65F91">
        <w:rPr>
          <w:rFonts w:cstheme="minorHAnsi"/>
          <w:sz w:val="22"/>
          <w:szCs w:val="22"/>
        </w:rPr>
        <w:t xml:space="preserve">. </w:t>
      </w:r>
      <w:r w:rsidR="00666C9B">
        <w:rPr>
          <w:rFonts w:cstheme="minorHAnsi"/>
          <w:sz w:val="22"/>
          <w:szCs w:val="22"/>
        </w:rPr>
        <w:t xml:space="preserve">I’d begin by exploring the traditional </w:t>
      </w:r>
      <w:r w:rsidR="00CE253A">
        <w:rPr>
          <w:rFonts w:cstheme="minorHAnsi"/>
          <w:sz w:val="22"/>
          <w:szCs w:val="22"/>
        </w:rPr>
        <w:t>accounts</w:t>
      </w:r>
      <w:r w:rsidR="00666C9B">
        <w:rPr>
          <w:rFonts w:cstheme="minorHAnsi"/>
          <w:sz w:val="22"/>
          <w:szCs w:val="22"/>
        </w:rPr>
        <w:t xml:space="preserve"> of judicial diversity</w:t>
      </w:r>
      <w:r w:rsidR="00CE253A">
        <w:rPr>
          <w:rFonts w:cstheme="minorHAnsi"/>
          <w:sz w:val="22"/>
          <w:szCs w:val="22"/>
        </w:rPr>
        <w:t xml:space="preserve">. </w:t>
      </w:r>
      <w:r w:rsidR="004522A1">
        <w:rPr>
          <w:rFonts w:cstheme="minorHAnsi"/>
          <w:sz w:val="22"/>
          <w:szCs w:val="22"/>
        </w:rPr>
        <w:t>Tales</w:t>
      </w:r>
      <w:r w:rsidR="00627FF3">
        <w:rPr>
          <w:rFonts w:cstheme="minorHAnsi"/>
          <w:sz w:val="22"/>
          <w:szCs w:val="22"/>
        </w:rPr>
        <w:t xml:space="preserve"> </w:t>
      </w:r>
      <w:r w:rsidR="00666C9B">
        <w:rPr>
          <w:rFonts w:cstheme="minorHAnsi"/>
          <w:sz w:val="22"/>
          <w:szCs w:val="22"/>
        </w:rPr>
        <w:t xml:space="preserve">in which progress </w:t>
      </w:r>
      <w:r w:rsidR="00703F32">
        <w:rPr>
          <w:rFonts w:cstheme="minorHAnsi"/>
          <w:sz w:val="22"/>
          <w:szCs w:val="22"/>
        </w:rPr>
        <w:t>– if</w:t>
      </w:r>
      <w:r w:rsidR="00666C9B">
        <w:rPr>
          <w:rFonts w:cstheme="minorHAnsi"/>
          <w:sz w:val="22"/>
          <w:szCs w:val="22"/>
        </w:rPr>
        <w:t xml:space="preserve"> it is made at all – ebbs and flows</w:t>
      </w:r>
      <w:r w:rsidR="00567189">
        <w:rPr>
          <w:rFonts w:cstheme="minorHAnsi"/>
          <w:sz w:val="22"/>
          <w:szCs w:val="22"/>
        </w:rPr>
        <w:t xml:space="preserve"> and</w:t>
      </w:r>
      <w:r w:rsidR="00666C9B">
        <w:rPr>
          <w:rFonts w:cstheme="minorHAnsi"/>
          <w:sz w:val="22"/>
          <w:szCs w:val="22"/>
        </w:rPr>
        <w:t xml:space="preserve"> </w:t>
      </w:r>
      <w:r w:rsidR="00627FF3">
        <w:rPr>
          <w:rFonts w:cstheme="minorHAnsi"/>
          <w:sz w:val="22"/>
          <w:szCs w:val="22"/>
        </w:rPr>
        <w:lastRenderedPageBreak/>
        <w:t>where</w:t>
      </w:r>
      <w:r w:rsidR="00666C9B">
        <w:rPr>
          <w:rFonts w:cstheme="minorHAnsi"/>
          <w:sz w:val="22"/>
          <w:szCs w:val="22"/>
        </w:rPr>
        <w:t xml:space="preserve"> echoes of earlier </w:t>
      </w:r>
      <w:r w:rsidR="00627FF3">
        <w:rPr>
          <w:rFonts w:cstheme="minorHAnsi"/>
          <w:sz w:val="22"/>
          <w:szCs w:val="22"/>
        </w:rPr>
        <w:t xml:space="preserve">versions </w:t>
      </w:r>
      <w:r w:rsidR="00666C9B">
        <w:rPr>
          <w:rFonts w:cstheme="minorHAnsi"/>
          <w:sz w:val="22"/>
          <w:szCs w:val="22"/>
        </w:rPr>
        <w:t>belie Whiggish assumptions of inevitabl</w:t>
      </w:r>
      <w:r w:rsidR="00A65DA0">
        <w:rPr>
          <w:rFonts w:cstheme="minorHAnsi"/>
          <w:sz w:val="22"/>
          <w:szCs w:val="22"/>
        </w:rPr>
        <w:t>e</w:t>
      </w:r>
      <w:r w:rsidR="00666C9B">
        <w:rPr>
          <w:rFonts w:cstheme="minorHAnsi"/>
          <w:sz w:val="22"/>
          <w:szCs w:val="22"/>
        </w:rPr>
        <w:t xml:space="preserve"> advancement. I would explore </w:t>
      </w:r>
      <w:r w:rsidR="00567189">
        <w:rPr>
          <w:rFonts w:cstheme="minorHAnsi"/>
          <w:sz w:val="22"/>
          <w:szCs w:val="22"/>
        </w:rPr>
        <w:t xml:space="preserve">why </w:t>
      </w:r>
      <w:r w:rsidR="00B2381F">
        <w:rPr>
          <w:rFonts w:cstheme="minorHAnsi"/>
          <w:sz w:val="22"/>
          <w:szCs w:val="22"/>
        </w:rPr>
        <w:t xml:space="preserve">the absence of diversity </w:t>
      </w:r>
      <w:r w:rsidR="00567189">
        <w:rPr>
          <w:rFonts w:cstheme="minorHAnsi"/>
          <w:sz w:val="22"/>
          <w:szCs w:val="22"/>
        </w:rPr>
        <w:t xml:space="preserve">matters. </w:t>
      </w:r>
      <w:r w:rsidR="00627FF3">
        <w:rPr>
          <w:rFonts w:cstheme="minorHAnsi"/>
          <w:sz w:val="22"/>
          <w:szCs w:val="22"/>
        </w:rPr>
        <w:t xml:space="preserve">And I </w:t>
      </w:r>
      <w:r w:rsidR="00684CBD">
        <w:rPr>
          <w:rFonts w:cstheme="minorHAnsi"/>
          <w:sz w:val="22"/>
          <w:szCs w:val="22"/>
        </w:rPr>
        <w:t>would go on</w:t>
      </w:r>
      <w:r w:rsidR="008D3584">
        <w:rPr>
          <w:rFonts w:cstheme="minorHAnsi"/>
          <w:sz w:val="22"/>
          <w:szCs w:val="22"/>
        </w:rPr>
        <w:t xml:space="preserve"> </w:t>
      </w:r>
      <w:r w:rsidR="00684CBD">
        <w:rPr>
          <w:rFonts w:cstheme="minorHAnsi"/>
          <w:sz w:val="22"/>
          <w:szCs w:val="22"/>
        </w:rPr>
        <w:t xml:space="preserve">to </w:t>
      </w:r>
      <w:r w:rsidR="00567189">
        <w:rPr>
          <w:rFonts w:cstheme="minorHAnsi"/>
          <w:sz w:val="22"/>
          <w:szCs w:val="22"/>
        </w:rPr>
        <w:t>make the arguments for judicial diversit</w:t>
      </w:r>
      <w:r w:rsidR="00B2381F">
        <w:rPr>
          <w:rFonts w:cstheme="minorHAnsi"/>
          <w:sz w:val="22"/>
          <w:szCs w:val="22"/>
        </w:rPr>
        <w:t xml:space="preserve">y, making </w:t>
      </w:r>
      <w:r w:rsidR="003118C0">
        <w:rPr>
          <w:rFonts w:cstheme="minorHAnsi"/>
          <w:sz w:val="22"/>
          <w:szCs w:val="22"/>
        </w:rPr>
        <w:t xml:space="preserve">it clear </w:t>
      </w:r>
      <w:r w:rsidR="00B2381F">
        <w:rPr>
          <w:rFonts w:cstheme="minorHAnsi"/>
          <w:sz w:val="22"/>
          <w:szCs w:val="22"/>
        </w:rPr>
        <w:t xml:space="preserve">where </w:t>
      </w:r>
      <w:r w:rsidR="003118C0">
        <w:rPr>
          <w:rFonts w:cstheme="minorHAnsi"/>
          <w:sz w:val="22"/>
          <w:szCs w:val="22"/>
        </w:rPr>
        <w:t xml:space="preserve">these </w:t>
      </w:r>
      <w:r w:rsidR="00B2381F">
        <w:rPr>
          <w:rFonts w:cstheme="minorHAnsi"/>
          <w:sz w:val="22"/>
          <w:szCs w:val="22"/>
        </w:rPr>
        <w:t xml:space="preserve">arguments </w:t>
      </w:r>
      <w:r w:rsidR="00567189">
        <w:rPr>
          <w:rFonts w:cstheme="minorHAnsi"/>
          <w:sz w:val="22"/>
          <w:szCs w:val="22"/>
        </w:rPr>
        <w:t>converge</w:t>
      </w:r>
      <w:r w:rsidR="003118C0">
        <w:rPr>
          <w:rFonts w:cstheme="minorHAnsi"/>
          <w:sz w:val="22"/>
          <w:szCs w:val="22"/>
        </w:rPr>
        <w:t xml:space="preserve"> and, vitally, </w:t>
      </w:r>
      <w:r w:rsidR="00B2381F">
        <w:rPr>
          <w:rFonts w:cstheme="minorHAnsi"/>
          <w:sz w:val="22"/>
          <w:szCs w:val="22"/>
        </w:rPr>
        <w:t xml:space="preserve">where they </w:t>
      </w:r>
      <w:r w:rsidR="00567189">
        <w:rPr>
          <w:rFonts w:cstheme="minorHAnsi"/>
          <w:sz w:val="22"/>
          <w:szCs w:val="22"/>
        </w:rPr>
        <w:t xml:space="preserve">depart. </w:t>
      </w:r>
      <w:r w:rsidR="003118C0">
        <w:rPr>
          <w:rFonts w:cstheme="minorHAnsi"/>
          <w:sz w:val="22"/>
          <w:szCs w:val="22"/>
        </w:rPr>
        <w:t>I would say</w:t>
      </w:r>
      <w:r w:rsidR="00567189">
        <w:rPr>
          <w:rFonts w:cstheme="minorHAnsi"/>
          <w:sz w:val="22"/>
          <w:szCs w:val="22"/>
        </w:rPr>
        <w:t xml:space="preserve"> </w:t>
      </w:r>
      <w:r w:rsidR="00B2381F">
        <w:rPr>
          <w:rFonts w:cstheme="minorHAnsi"/>
          <w:sz w:val="22"/>
          <w:szCs w:val="22"/>
        </w:rPr>
        <w:t>why this is important</w:t>
      </w:r>
      <w:r w:rsidR="00567189">
        <w:rPr>
          <w:rFonts w:cstheme="minorHAnsi"/>
          <w:sz w:val="22"/>
          <w:szCs w:val="22"/>
        </w:rPr>
        <w:t>. I would</w:t>
      </w:r>
      <w:r w:rsidR="003118C0">
        <w:rPr>
          <w:rFonts w:cstheme="minorHAnsi"/>
          <w:sz w:val="22"/>
          <w:szCs w:val="22"/>
        </w:rPr>
        <w:t xml:space="preserve"> </w:t>
      </w:r>
      <w:r w:rsidR="00627FF3">
        <w:rPr>
          <w:rFonts w:cstheme="minorHAnsi"/>
          <w:sz w:val="22"/>
          <w:szCs w:val="22"/>
        </w:rPr>
        <w:t>hunt out</w:t>
      </w:r>
      <w:r w:rsidR="00567189">
        <w:rPr>
          <w:rFonts w:cstheme="minorHAnsi"/>
          <w:sz w:val="22"/>
          <w:szCs w:val="22"/>
        </w:rPr>
        <w:t xml:space="preserve"> examples of these </w:t>
      </w:r>
      <w:r w:rsidR="00B2381F">
        <w:rPr>
          <w:rFonts w:cstheme="minorHAnsi"/>
          <w:sz w:val="22"/>
          <w:szCs w:val="22"/>
        </w:rPr>
        <w:t>arguments</w:t>
      </w:r>
      <w:r w:rsidR="00567189">
        <w:rPr>
          <w:rFonts w:cstheme="minorHAnsi"/>
          <w:sz w:val="22"/>
          <w:szCs w:val="22"/>
        </w:rPr>
        <w:t xml:space="preserve"> in </w:t>
      </w:r>
      <w:r w:rsidR="00B2381F">
        <w:rPr>
          <w:rFonts w:cstheme="minorHAnsi"/>
          <w:sz w:val="22"/>
          <w:szCs w:val="22"/>
        </w:rPr>
        <w:t>practice</w:t>
      </w:r>
      <w:r w:rsidR="0023179F">
        <w:rPr>
          <w:rFonts w:cstheme="minorHAnsi"/>
          <w:sz w:val="22"/>
          <w:szCs w:val="22"/>
        </w:rPr>
        <w:t>. I would</w:t>
      </w:r>
      <w:r w:rsidR="00627FF3">
        <w:rPr>
          <w:rFonts w:cstheme="minorHAnsi"/>
          <w:sz w:val="22"/>
          <w:szCs w:val="22"/>
        </w:rPr>
        <w:t xml:space="preserve"> </w:t>
      </w:r>
      <w:r w:rsidR="00B64F48">
        <w:rPr>
          <w:rFonts w:cstheme="minorHAnsi"/>
          <w:sz w:val="22"/>
          <w:szCs w:val="22"/>
        </w:rPr>
        <w:t>visit</w:t>
      </w:r>
      <w:r w:rsidR="003118C0">
        <w:rPr>
          <w:rFonts w:cstheme="minorHAnsi"/>
          <w:sz w:val="22"/>
          <w:szCs w:val="22"/>
        </w:rPr>
        <w:t xml:space="preserve"> </w:t>
      </w:r>
      <w:r w:rsidR="00567189">
        <w:rPr>
          <w:rFonts w:cstheme="minorHAnsi"/>
          <w:sz w:val="22"/>
          <w:szCs w:val="22"/>
        </w:rPr>
        <w:t>archives</w:t>
      </w:r>
      <w:r w:rsidR="0023179F">
        <w:rPr>
          <w:rFonts w:cstheme="minorHAnsi"/>
          <w:sz w:val="22"/>
          <w:szCs w:val="22"/>
        </w:rPr>
        <w:t xml:space="preserve"> and wander </w:t>
      </w:r>
      <w:r w:rsidR="003E23F3">
        <w:rPr>
          <w:rFonts w:cstheme="minorHAnsi"/>
          <w:sz w:val="22"/>
          <w:szCs w:val="22"/>
        </w:rPr>
        <w:t xml:space="preserve">the </w:t>
      </w:r>
      <w:r w:rsidR="0023179F">
        <w:rPr>
          <w:rFonts w:cstheme="minorHAnsi"/>
          <w:sz w:val="22"/>
          <w:szCs w:val="22"/>
        </w:rPr>
        <w:t>stacks</w:t>
      </w:r>
      <w:r w:rsidR="00627FF3">
        <w:rPr>
          <w:rFonts w:cstheme="minorHAnsi"/>
          <w:sz w:val="22"/>
          <w:szCs w:val="22"/>
        </w:rPr>
        <w:t xml:space="preserve"> </w:t>
      </w:r>
      <w:r w:rsidR="003E23F3">
        <w:rPr>
          <w:rFonts w:cstheme="minorHAnsi"/>
          <w:sz w:val="22"/>
          <w:szCs w:val="22"/>
        </w:rPr>
        <w:t xml:space="preserve">in the basements of libraries </w:t>
      </w:r>
      <w:r w:rsidR="0023179F">
        <w:rPr>
          <w:rFonts w:cstheme="minorHAnsi"/>
          <w:sz w:val="22"/>
          <w:szCs w:val="22"/>
        </w:rPr>
        <w:t>s</w:t>
      </w:r>
      <w:r w:rsidR="00627FF3">
        <w:rPr>
          <w:rFonts w:cstheme="minorHAnsi"/>
          <w:sz w:val="22"/>
          <w:szCs w:val="22"/>
        </w:rPr>
        <w:t>o that</w:t>
      </w:r>
      <w:r w:rsidR="003118C0">
        <w:rPr>
          <w:rFonts w:cstheme="minorHAnsi"/>
          <w:sz w:val="22"/>
          <w:szCs w:val="22"/>
        </w:rPr>
        <w:t>, in the fourth section,</w:t>
      </w:r>
      <w:r w:rsidR="00627FF3">
        <w:rPr>
          <w:rFonts w:cstheme="minorHAnsi"/>
          <w:sz w:val="22"/>
          <w:szCs w:val="22"/>
        </w:rPr>
        <w:t xml:space="preserve"> I might tell</w:t>
      </w:r>
      <w:r w:rsidR="00567189">
        <w:rPr>
          <w:rFonts w:cstheme="minorHAnsi"/>
          <w:sz w:val="22"/>
          <w:szCs w:val="22"/>
        </w:rPr>
        <w:t xml:space="preserve"> for the first time the story of </w:t>
      </w:r>
      <w:r w:rsidR="00B2381F">
        <w:rPr>
          <w:rFonts w:cstheme="minorHAnsi"/>
          <w:sz w:val="22"/>
          <w:szCs w:val="22"/>
        </w:rPr>
        <w:t xml:space="preserve">how there came to be </w:t>
      </w:r>
      <w:r w:rsidR="00DB625F">
        <w:rPr>
          <w:rFonts w:cstheme="minorHAnsi"/>
          <w:sz w:val="22"/>
          <w:szCs w:val="22"/>
        </w:rPr>
        <w:t xml:space="preserve">a </w:t>
      </w:r>
      <w:r w:rsidR="00B2381F">
        <w:rPr>
          <w:rFonts w:cstheme="minorHAnsi"/>
          <w:sz w:val="22"/>
          <w:szCs w:val="22"/>
        </w:rPr>
        <w:t>statutory requirement for women’s presence on</w:t>
      </w:r>
      <w:r w:rsidR="007D00EF">
        <w:rPr>
          <w:rFonts w:cstheme="minorHAnsi"/>
          <w:sz w:val="22"/>
          <w:szCs w:val="22"/>
        </w:rPr>
        <w:t xml:space="preserve"> the</w:t>
      </w:r>
      <w:r w:rsidR="00B2381F">
        <w:rPr>
          <w:rFonts w:cstheme="minorHAnsi"/>
          <w:sz w:val="22"/>
          <w:szCs w:val="22"/>
        </w:rPr>
        <w:t xml:space="preserve"> </w:t>
      </w:r>
      <w:r w:rsidR="007D00EF">
        <w:rPr>
          <w:rFonts w:cstheme="minorHAnsi"/>
          <w:sz w:val="22"/>
          <w:szCs w:val="22"/>
        </w:rPr>
        <w:t>I</w:t>
      </w:r>
      <w:r w:rsidR="00567189">
        <w:rPr>
          <w:rFonts w:cstheme="minorHAnsi"/>
          <w:sz w:val="22"/>
          <w:szCs w:val="22"/>
        </w:rPr>
        <w:t xml:space="preserve">ndustrial </w:t>
      </w:r>
      <w:r w:rsidR="007D00EF">
        <w:rPr>
          <w:rFonts w:cstheme="minorHAnsi"/>
          <w:sz w:val="22"/>
          <w:szCs w:val="22"/>
        </w:rPr>
        <w:t>C</w:t>
      </w:r>
      <w:r w:rsidR="00567189">
        <w:rPr>
          <w:rFonts w:cstheme="minorHAnsi"/>
          <w:sz w:val="22"/>
          <w:szCs w:val="22"/>
        </w:rPr>
        <w:t>ourt</w:t>
      </w:r>
      <w:r w:rsidR="00732A25">
        <w:rPr>
          <w:rFonts w:cstheme="minorHAnsi"/>
          <w:sz w:val="22"/>
          <w:szCs w:val="22"/>
        </w:rPr>
        <w:t xml:space="preserve">, </w:t>
      </w:r>
      <w:r w:rsidR="00DB7158">
        <w:rPr>
          <w:rFonts w:cstheme="minorHAnsi"/>
          <w:sz w:val="22"/>
          <w:szCs w:val="22"/>
        </w:rPr>
        <w:t xml:space="preserve">a little known English court </w:t>
      </w:r>
      <w:r w:rsidR="00732A25">
        <w:rPr>
          <w:rFonts w:cstheme="minorHAnsi"/>
          <w:sz w:val="22"/>
          <w:szCs w:val="22"/>
        </w:rPr>
        <w:t>established</w:t>
      </w:r>
      <w:r w:rsidR="00DB7158">
        <w:rPr>
          <w:rFonts w:cstheme="minorHAnsi"/>
          <w:sz w:val="22"/>
          <w:szCs w:val="22"/>
        </w:rPr>
        <w:t xml:space="preserve"> over 100 years ago</w:t>
      </w:r>
      <w:r w:rsidR="003118C0">
        <w:rPr>
          <w:rFonts w:cstheme="minorHAnsi"/>
          <w:sz w:val="22"/>
          <w:szCs w:val="22"/>
        </w:rPr>
        <w:t xml:space="preserve">, </w:t>
      </w:r>
      <w:r w:rsidR="009959D0">
        <w:rPr>
          <w:rFonts w:cstheme="minorHAnsi"/>
          <w:sz w:val="22"/>
          <w:szCs w:val="22"/>
        </w:rPr>
        <w:t xml:space="preserve">and </w:t>
      </w:r>
      <w:r w:rsidR="00945010">
        <w:rPr>
          <w:rFonts w:cstheme="minorHAnsi"/>
          <w:sz w:val="22"/>
          <w:szCs w:val="22"/>
        </w:rPr>
        <w:t>the role played by feminist and women’s organisations and networks</w:t>
      </w:r>
      <w:r w:rsidR="003118C0">
        <w:rPr>
          <w:rFonts w:cstheme="minorHAnsi"/>
          <w:sz w:val="22"/>
          <w:szCs w:val="22"/>
        </w:rPr>
        <w:t xml:space="preserve"> and leading political figures</w:t>
      </w:r>
      <w:r w:rsidR="00A65DA0">
        <w:rPr>
          <w:rFonts w:cstheme="minorHAnsi"/>
          <w:sz w:val="22"/>
          <w:szCs w:val="22"/>
        </w:rPr>
        <w:t xml:space="preserve"> in making this happen</w:t>
      </w:r>
      <w:r w:rsidR="003118C0">
        <w:rPr>
          <w:rFonts w:cstheme="minorHAnsi"/>
          <w:sz w:val="22"/>
          <w:szCs w:val="22"/>
        </w:rPr>
        <w:t xml:space="preserve">. </w:t>
      </w:r>
      <w:r w:rsidR="009959D0">
        <w:rPr>
          <w:rFonts w:cstheme="minorHAnsi"/>
          <w:sz w:val="22"/>
          <w:szCs w:val="22"/>
        </w:rPr>
        <w:t xml:space="preserve">I would </w:t>
      </w:r>
      <w:r w:rsidR="003118C0">
        <w:rPr>
          <w:rFonts w:cstheme="minorHAnsi"/>
          <w:sz w:val="22"/>
          <w:szCs w:val="22"/>
        </w:rPr>
        <w:t xml:space="preserve">ask what lessons we might learn from </w:t>
      </w:r>
      <w:r w:rsidR="009959D0">
        <w:rPr>
          <w:rFonts w:cstheme="minorHAnsi"/>
          <w:sz w:val="22"/>
          <w:szCs w:val="22"/>
        </w:rPr>
        <w:t>this</w:t>
      </w:r>
      <w:r w:rsidR="003118C0">
        <w:rPr>
          <w:rFonts w:cstheme="minorHAnsi"/>
          <w:sz w:val="22"/>
          <w:szCs w:val="22"/>
        </w:rPr>
        <w:t xml:space="preserve"> </w:t>
      </w:r>
      <w:r w:rsidR="00A65DA0">
        <w:rPr>
          <w:rFonts w:cstheme="minorHAnsi"/>
          <w:sz w:val="22"/>
          <w:szCs w:val="22"/>
        </w:rPr>
        <w:t>example</w:t>
      </w:r>
      <w:r w:rsidR="00DB625F">
        <w:rPr>
          <w:rFonts w:cstheme="minorHAnsi"/>
          <w:sz w:val="22"/>
          <w:szCs w:val="22"/>
        </w:rPr>
        <w:t xml:space="preserve"> and</w:t>
      </w:r>
      <w:r w:rsidR="007D00EF">
        <w:rPr>
          <w:rFonts w:cstheme="minorHAnsi"/>
          <w:sz w:val="22"/>
          <w:szCs w:val="22"/>
        </w:rPr>
        <w:t xml:space="preserve"> would argue that these lessons</w:t>
      </w:r>
      <w:r w:rsidR="003E23F3">
        <w:rPr>
          <w:rFonts w:cstheme="minorHAnsi"/>
          <w:sz w:val="22"/>
          <w:szCs w:val="22"/>
        </w:rPr>
        <w:t xml:space="preserve">, like all good feminist legal history, </w:t>
      </w:r>
      <w:r w:rsidR="003118C0">
        <w:rPr>
          <w:rFonts w:cstheme="minorHAnsi"/>
          <w:sz w:val="22"/>
          <w:szCs w:val="22"/>
        </w:rPr>
        <w:t>‘disrupt the certainties of the present’</w:t>
      </w:r>
      <w:r w:rsidR="00A65DA0">
        <w:rPr>
          <w:rFonts w:cstheme="minorHAnsi"/>
          <w:sz w:val="22"/>
          <w:szCs w:val="22"/>
        </w:rPr>
        <w:t>,</w:t>
      </w:r>
      <w:r w:rsidR="003118C0">
        <w:rPr>
          <w:rStyle w:val="FootnoteReference"/>
          <w:rFonts w:cstheme="minorHAnsi"/>
          <w:sz w:val="22"/>
          <w:szCs w:val="22"/>
        </w:rPr>
        <w:footnoteReference w:id="19"/>
      </w:r>
      <w:r w:rsidR="00EA5875">
        <w:rPr>
          <w:rFonts w:cstheme="minorHAnsi"/>
          <w:sz w:val="22"/>
          <w:szCs w:val="22"/>
        </w:rPr>
        <w:t xml:space="preserve"> </w:t>
      </w:r>
      <w:r w:rsidR="00A65DA0">
        <w:rPr>
          <w:rFonts w:cstheme="minorHAnsi"/>
          <w:sz w:val="22"/>
          <w:szCs w:val="22"/>
        </w:rPr>
        <w:t xml:space="preserve">particularly in relation to </w:t>
      </w:r>
      <w:r w:rsidR="00627FF3">
        <w:rPr>
          <w:rFonts w:cstheme="minorHAnsi"/>
          <w:sz w:val="22"/>
          <w:szCs w:val="22"/>
        </w:rPr>
        <w:t>assumptions</w:t>
      </w:r>
      <w:r w:rsidR="00A65DA0">
        <w:rPr>
          <w:rFonts w:cstheme="minorHAnsi"/>
          <w:sz w:val="22"/>
          <w:szCs w:val="22"/>
        </w:rPr>
        <w:t xml:space="preserve"> around </w:t>
      </w:r>
      <w:r w:rsidR="007051FD">
        <w:rPr>
          <w:rFonts w:cstheme="minorHAnsi"/>
          <w:sz w:val="22"/>
          <w:szCs w:val="22"/>
        </w:rPr>
        <w:t>arguments for the</w:t>
      </w:r>
      <w:r w:rsidR="00A65DA0">
        <w:rPr>
          <w:rFonts w:cstheme="minorHAnsi"/>
          <w:sz w:val="22"/>
          <w:szCs w:val="22"/>
        </w:rPr>
        <w:t xml:space="preserve"> </w:t>
      </w:r>
      <w:r w:rsidR="001B619F">
        <w:rPr>
          <w:rFonts w:cstheme="minorHAnsi"/>
          <w:sz w:val="22"/>
          <w:szCs w:val="22"/>
        </w:rPr>
        <w:t>imposition of</w:t>
      </w:r>
      <w:r w:rsidR="007051FD">
        <w:rPr>
          <w:rFonts w:cstheme="minorHAnsi"/>
          <w:sz w:val="22"/>
          <w:szCs w:val="22"/>
        </w:rPr>
        <w:t xml:space="preserve"> quotas when appointing judges</w:t>
      </w:r>
      <w:r w:rsidR="00A65DA0">
        <w:rPr>
          <w:rFonts w:cstheme="minorHAnsi"/>
          <w:sz w:val="22"/>
          <w:szCs w:val="22"/>
        </w:rPr>
        <w:t>.</w:t>
      </w:r>
      <w:r w:rsidR="007D00EF">
        <w:rPr>
          <w:rFonts w:cstheme="minorHAnsi"/>
          <w:sz w:val="22"/>
          <w:szCs w:val="22"/>
        </w:rPr>
        <w:t xml:space="preserve"> I’d make the case for the quality argument for quotas</w:t>
      </w:r>
      <w:r w:rsidR="00684CBD">
        <w:rPr>
          <w:rFonts w:cstheme="minorHAnsi"/>
          <w:sz w:val="22"/>
          <w:szCs w:val="22"/>
        </w:rPr>
        <w:t xml:space="preserve"> </w:t>
      </w:r>
      <w:r w:rsidR="004522A1">
        <w:rPr>
          <w:rFonts w:cstheme="minorHAnsi"/>
          <w:sz w:val="22"/>
          <w:szCs w:val="22"/>
        </w:rPr>
        <w:t>on the basis</w:t>
      </w:r>
      <w:r w:rsidR="007D00EF">
        <w:rPr>
          <w:rFonts w:cstheme="minorHAnsi"/>
          <w:sz w:val="22"/>
          <w:szCs w:val="22"/>
        </w:rPr>
        <w:t xml:space="preserve"> that</w:t>
      </w:r>
      <w:r w:rsidR="00DB625F">
        <w:rPr>
          <w:rFonts w:cstheme="minorHAnsi"/>
          <w:sz w:val="22"/>
          <w:szCs w:val="22"/>
        </w:rPr>
        <w:t>,</w:t>
      </w:r>
      <w:r w:rsidR="007D00EF">
        <w:rPr>
          <w:rFonts w:cstheme="minorHAnsi"/>
          <w:sz w:val="22"/>
          <w:szCs w:val="22"/>
        </w:rPr>
        <w:t xml:space="preserve"> if </w:t>
      </w:r>
      <w:r w:rsidR="004522A1">
        <w:rPr>
          <w:rFonts w:cstheme="minorHAnsi"/>
          <w:sz w:val="22"/>
          <w:szCs w:val="22"/>
        </w:rPr>
        <w:t xml:space="preserve">a diverse judicially really is a better judiciary, and if </w:t>
      </w:r>
      <w:r w:rsidR="007D00EF">
        <w:rPr>
          <w:rFonts w:cstheme="minorHAnsi"/>
          <w:sz w:val="22"/>
          <w:szCs w:val="22"/>
        </w:rPr>
        <w:t>we want the best</w:t>
      </w:r>
      <w:r w:rsidR="00703F32">
        <w:rPr>
          <w:rFonts w:cstheme="minorHAnsi"/>
          <w:sz w:val="22"/>
          <w:szCs w:val="22"/>
        </w:rPr>
        <w:t xml:space="preserve"> possible</w:t>
      </w:r>
      <w:r w:rsidR="007D00EF">
        <w:rPr>
          <w:rFonts w:cstheme="minorHAnsi"/>
          <w:sz w:val="22"/>
          <w:szCs w:val="22"/>
        </w:rPr>
        <w:t xml:space="preserve"> judiciary</w:t>
      </w:r>
      <w:r w:rsidR="00703F32">
        <w:rPr>
          <w:rFonts w:cstheme="minorHAnsi"/>
          <w:sz w:val="22"/>
          <w:szCs w:val="22"/>
        </w:rPr>
        <w:t xml:space="preserve">, a judiciary that is best able to do its job, then </w:t>
      </w:r>
      <w:r w:rsidR="007D00EF">
        <w:rPr>
          <w:rFonts w:cstheme="minorHAnsi"/>
          <w:sz w:val="22"/>
          <w:szCs w:val="22"/>
        </w:rPr>
        <w:t>quotas</w:t>
      </w:r>
      <w:r w:rsidR="00703F32">
        <w:rPr>
          <w:rFonts w:cstheme="minorHAnsi"/>
          <w:sz w:val="22"/>
          <w:szCs w:val="22"/>
        </w:rPr>
        <w:t>, far from pulling against merit, are integral to this.</w:t>
      </w:r>
      <w:r w:rsidR="004522A1">
        <w:rPr>
          <w:rStyle w:val="FootnoteReference"/>
          <w:rFonts w:cstheme="minorHAnsi"/>
          <w:sz w:val="22"/>
          <w:szCs w:val="22"/>
        </w:rPr>
        <w:footnoteReference w:id="20"/>
      </w:r>
      <w:r w:rsidR="00703F32">
        <w:rPr>
          <w:rFonts w:cstheme="minorHAnsi"/>
          <w:sz w:val="22"/>
          <w:szCs w:val="22"/>
        </w:rPr>
        <w:t xml:space="preserve"> </w:t>
      </w:r>
      <w:r w:rsidR="00684CBD">
        <w:rPr>
          <w:rFonts w:cstheme="minorHAnsi"/>
          <w:sz w:val="22"/>
          <w:szCs w:val="22"/>
        </w:rPr>
        <w:t xml:space="preserve">And </w:t>
      </w:r>
      <w:r w:rsidR="00A65DA0">
        <w:rPr>
          <w:rFonts w:cstheme="minorHAnsi"/>
          <w:sz w:val="22"/>
          <w:szCs w:val="22"/>
        </w:rPr>
        <w:t>I’d end</w:t>
      </w:r>
      <w:r w:rsidR="00DB625F">
        <w:rPr>
          <w:rFonts w:cstheme="minorHAnsi"/>
          <w:sz w:val="22"/>
          <w:szCs w:val="22"/>
        </w:rPr>
        <w:t xml:space="preserve"> </w:t>
      </w:r>
      <w:r w:rsidR="00A65DA0">
        <w:rPr>
          <w:rFonts w:cstheme="minorHAnsi"/>
          <w:sz w:val="22"/>
          <w:szCs w:val="22"/>
        </w:rPr>
        <w:t xml:space="preserve">by </w:t>
      </w:r>
      <w:r w:rsidR="007D00EF">
        <w:rPr>
          <w:rFonts w:cstheme="minorHAnsi"/>
          <w:sz w:val="22"/>
          <w:szCs w:val="22"/>
        </w:rPr>
        <w:t>suggesting</w:t>
      </w:r>
      <w:r w:rsidR="00A65DA0">
        <w:rPr>
          <w:rFonts w:cstheme="minorHAnsi"/>
          <w:sz w:val="22"/>
          <w:szCs w:val="22"/>
        </w:rPr>
        <w:t xml:space="preserve"> that</w:t>
      </w:r>
      <w:r w:rsidR="00684CBD">
        <w:rPr>
          <w:rFonts w:cstheme="minorHAnsi"/>
          <w:sz w:val="22"/>
          <w:szCs w:val="22"/>
        </w:rPr>
        <w:t>,</w:t>
      </w:r>
      <w:r w:rsidR="00A65DA0">
        <w:rPr>
          <w:rFonts w:cstheme="minorHAnsi"/>
          <w:sz w:val="22"/>
          <w:szCs w:val="22"/>
        </w:rPr>
        <w:t xml:space="preserve"> as the grandmother knew, </w:t>
      </w:r>
      <w:r w:rsidR="00080531">
        <w:rPr>
          <w:rFonts w:cstheme="minorHAnsi"/>
          <w:sz w:val="22"/>
          <w:szCs w:val="22"/>
        </w:rPr>
        <w:t xml:space="preserve">this </w:t>
      </w:r>
      <w:r w:rsidR="00684CBD">
        <w:rPr>
          <w:rFonts w:cstheme="minorHAnsi"/>
          <w:sz w:val="22"/>
          <w:szCs w:val="22"/>
        </w:rPr>
        <w:t xml:space="preserve">is the promise of </w:t>
      </w:r>
      <w:r w:rsidR="00627FF3">
        <w:rPr>
          <w:rFonts w:cstheme="minorHAnsi"/>
          <w:sz w:val="22"/>
          <w:szCs w:val="22"/>
        </w:rPr>
        <w:t>feminist legal history</w:t>
      </w:r>
      <w:r w:rsidR="00080531">
        <w:rPr>
          <w:rFonts w:cstheme="minorHAnsi"/>
          <w:sz w:val="22"/>
          <w:szCs w:val="22"/>
        </w:rPr>
        <w:t xml:space="preserve">: that </w:t>
      </w:r>
      <w:r w:rsidR="00732A25">
        <w:rPr>
          <w:rFonts w:cstheme="minorHAnsi"/>
          <w:sz w:val="22"/>
          <w:szCs w:val="22"/>
        </w:rPr>
        <w:t>feminist legal history</w:t>
      </w:r>
      <w:r w:rsidR="00080531">
        <w:rPr>
          <w:rFonts w:cstheme="minorHAnsi"/>
          <w:sz w:val="22"/>
          <w:szCs w:val="22"/>
        </w:rPr>
        <w:t xml:space="preserve"> </w:t>
      </w:r>
      <w:r w:rsidR="00703F32">
        <w:rPr>
          <w:rFonts w:cstheme="minorHAnsi"/>
          <w:sz w:val="22"/>
          <w:szCs w:val="22"/>
        </w:rPr>
        <w:t>offer</w:t>
      </w:r>
      <w:r w:rsidR="00777FA9">
        <w:rPr>
          <w:rFonts w:cstheme="minorHAnsi"/>
          <w:sz w:val="22"/>
          <w:szCs w:val="22"/>
        </w:rPr>
        <w:t>s</w:t>
      </w:r>
      <w:r w:rsidR="00703F32">
        <w:rPr>
          <w:rFonts w:cstheme="minorHAnsi"/>
          <w:sz w:val="22"/>
          <w:szCs w:val="22"/>
        </w:rPr>
        <w:t xml:space="preserve"> a</w:t>
      </w:r>
      <w:r w:rsidR="00A65DA0">
        <w:rPr>
          <w:rFonts w:cstheme="minorHAnsi"/>
          <w:sz w:val="22"/>
          <w:szCs w:val="22"/>
        </w:rPr>
        <w:t xml:space="preserve"> glimpse </w:t>
      </w:r>
      <w:r w:rsidR="00703F32">
        <w:rPr>
          <w:rFonts w:cstheme="minorHAnsi"/>
          <w:sz w:val="22"/>
          <w:szCs w:val="22"/>
        </w:rPr>
        <w:t>into</w:t>
      </w:r>
      <w:r w:rsidR="00A65DA0">
        <w:rPr>
          <w:rFonts w:cstheme="minorHAnsi"/>
          <w:sz w:val="22"/>
          <w:szCs w:val="22"/>
        </w:rPr>
        <w:t xml:space="preserve"> alternative worlds</w:t>
      </w:r>
      <w:r w:rsidR="00080531">
        <w:rPr>
          <w:rFonts w:cstheme="minorHAnsi"/>
          <w:sz w:val="22"/>
          <w:szCs w:val="22"/>
        </w:rPr>
        <w:t xml:space="preserve"> and, vitally, the opportunity</w:t>
      </w:r>
      <w:r w:rsidR="00703F32">
        <w:rPr>
          <w:rFonts w:cstheme="minorHAnsi"/>
          <w:sz w:val="22"/>
          <w:szCs w:val="22"/>
        </w:rPr>
        <w:t xml:space="preserve"> to </w:t>
      </w:r>
      <w:r w:rsidR="00627FF3">
        <w:rPr>
          <w:rFonts w:cstheme="minorHAnsi"/>
          <w:sz w:val="22"/>
          <w:szCs w:val="22"/>
        </w:rPr>
        <w:t>refuel and reignit</w:t>
      </w:r>
      <w:r w:rsidR="00703F32">
        <w:rPr>
          <w:rFonts w:cstheme="minorHAnsi"/>
          <w:sz w:val="22"/>
          <w:szCs w:val="22"/>
        </w:rPr>
        <w:t>e</w:t>
      </w:r>
      <w:r w:rsidR="00627FF3">
        <w:rPr>
          <w:rFonts w:cstheme="minorHAnsi"/>
          <w:sz w:val="22"/>
          <w:szCs w:val="22"/>
        </w:rPr>
        <w:t xml:space="preserve"> </w:t>
      </w:r>
      <w:r w:rsidR="00777FA9">
        <w:rPr>
          <w:rFonts w:cstheme="minorHAnsi"/>
          <w:sz w:val="22"/>
          <w:szCs w:val="22"/>
        </w:rPr>
        <w:t>conversation</w:t>
      </w:r>
      <w:r w:rsidR="00080531">
        <w:rPr>
          <w:rFonts w:cstheme="minorHAnsi"/>
          <w:sz w:val="22"/>
          <w:szCs w:val="22"/>
        </w:rPr>
        <w:t>s</w:t>
      </w:r>
      <w:r w:rsidR="00777FA9">
        <w:rPr>
          <w:rFonts w:cstheme="minorHAnsi"/>
          <w:sz w:val="22"/>
          <w:szCs w:val="22"/>
        </w:rPr>
        <w:t xml:space="preserve"> </w:t>
      </w:r>
      <w:r w:rsidR="00A65DA0" w:rsidRPr="00B749C5">
        <w:rPr>
          <w:rFonts w:cstheme="minorHAnsi"/>
          <w:sz w:val="22"/>
          <w:szCs w:val="22"/>
        </w:rPr>
        <w:t>about judicial diversity</w:t>
      </w:r>
      <w:r w:rsidR="00A65DA0">
        <w:rPr>
          <w:rFonts w:cstheme="minorHAnsi"/>
          <w:sz w:val="22"/>
          <w:szCs w:val="22"/>
        </w:rPr>
        <w:t xml:space="preserve">. </w:t>
      </w:r>
      <w:r w:rsidR="00684CBD">
        <w:rPr>
          <w:rFonts w:cstheme="minorHAnsi"/>
          <w:sz w:val="22"/>
          <w:szCs w:val="22"/>
        </w:rPr>
        <w:t xml:space="preserve">I would argue that this </w:t>
      </w:r>
      <w:r w:rsidR="00703F32">
        <w:rPr>
          <w:rFonts w:cstheme="minorHAnsi"/>
          <w:sz w:val="22"/>
          <w:szCs w:val="22"/>
        </w:rPr>
        <w:t>is important</w:t>
      </w:r>
      <w:r w:rsidR="00080531">
        <w:rPr>
          <w:rFonts w:cstheme="minorHAnsi"/>
          <w:sz w:val="22"/>
          <w:szCs w:val="22"/>
        </w:rPr>
        <w:t>.</w:t>
      </w:r>
      <w:r w:rsidR="00777FA9">
        <w:rPr>
          <w:rFonts w:cstheme="minorHAnsi"/>
          <w:sz w:val="22"/>
          <w:szCs w:val="22"/>
        </w:rPr>
        <w:t xml:space="preserve"> </w:t>
      </w:r>
      <w:r w:rsidR="00080531">
        <w:rPr>
          <w:rFonts w:cstheme="minorHAnsi"/>
          <w:sz w:val="22"/>
          <w:szCs w:val="22"/>
        </w:rPr>
        <w:t>F</w:t>
      </w:r>
      <w:r w:rsidR="00507B62">
        <w:rPr>
          <w:rFonts w:cstheme="minorHAnsi"/>
          <w:sz w:val="22"/>
          <w:szCs w:val="22"/>
        </w:rPr>
        <w:t>or</w:t>
      </w:r>
      <w:r w:rsidR="009A313D">
        <w:rPr>
          <w:rFonts w:cstheme="minorHAnsi"/>
          <w:sz w:val="22"/>
          <w:szCs w:val="22"/>
        </w:rPr>
        <w:t xml:space="preserve"> it is only</w:t>
      </w:r>
      <w:r w:rsidR="00A65DA0">
        <w:rPr>
          <w:rFonts w:cstheme="minorHAnsi"/>
          <w:sz w:val="22"/>
          <w:szCs w:val="22"/>
        </w:rPr>
        <w:t xml:space="preserve"> by</w:t>
      </w:r>
      <w:r w:rsidR="00080531">
        <w:rPr>
          <w:rFonts w:cstheme="minorHAnsi"/>
          <w:sz w:val="22"/>
          <w:szCs w:val="22"/>
        </w:rPr>
        <w:t xml:space="preserve"> continuing to talk about who our judges are and why it matters</w:t>
      </w:r>
      <w:r w:rsidR="00A65DA0">
        <w:rPr>
          <w:rFonts w:cstheme="minorHAnsi"/>
          <w:sz w:val="22"/>
          <w:szCs w:val="22"/>
        </w:rPr>
        <w:t xml:space="preserve"> that we have any chance of securing a judiciary that is truly diverse</w:t>
      </w:r>
      <w:r w:rsidR="00684CBD">
        <w:rPr>
          <w:rFonts w:cstheme="minorHAnsi"/>
          <w:sz w:val="22"/>
          <w:szCs w:val="22"/>
        </w:rPr>
        <w:t xml:space="preserve">. </w:t>
      </w:r>
      <w:proofErr w:type="gramStart"/>
      <w:r w:rsidR="00684CBD">
        <w:rPr>
          <w:rFonts w:cstheme="minorHAnsi"/>
          <w:sz w:val="22"/>
          <w:szCs w:val="22"/>
        </w:rPr>
        <w:t>And</w:t>
      </w:r>
      <w:r w:rsidR="00080531">
        <w:rPr>
          <w:rFonts w:cstheme="minorHAnsi"/>
          <w:sz w:val="22"/>
          <w:szCs w:val="22"/>
        </w:rPr>
        <w:t>,</w:t>
      </w:r>
      <w:proofErr w:type="gramEnd"/>
      <w:r w:rsidR="00684CBD">
        <w:rPr>
          <w:rFonts w:cstheme="minorHAnsi"/>
          <w:sz w:val="22"/>
          <w:szCs w:val="22"/>
        </w:rPr>
        <w:t xml:space="preserve"> </w:t>
      </w:r>
      <w:r w:rsidR="00703F32">
        <w:rPr>
          <w:rFonts w:cstheme="minorHAnsi"/>
          <w:sz w:val="22"/>
          <w:szCs w:val="22"/>
        </w:rPr>
        <w:t xml:space="preserve">I would </w:t>
      </w:r>
      <w:r w:rsidR="007D00EF">
        <w:rPr>
          <w:rFonts w:cstheme="minorHAnsi"/>
          <w:sz w:val="22"/>
          <w:szCs w:val="22"/>
        </w:rPr>
        <w:t xml:space="preserve">call </w:t>
      </w:r>
      <w:r w:rsidR="00080531">
        <w:rPr>
          <w:rFonts w:cstheme="minorHAnsi"/>
          <w:sz w:val="22"/>
          <w:szCs w:val="22"/>
        </w:rPr>
        <w:t>it</w:t>
      </w:r>
      <w:r w:rsidR="007D00EF">
        <w:rPr>
          <w:rFonts w:cstheme="minorHAnsi"/>
          <w:sz w:val="22"/>
          <w:szCs w:val="22"/>
        </w:rPr>
        <w:t xml:space="preserve"> ‘a short history of diversity’.</w:t>
      </w:r>
      <w:r w:rsidR="00703F32">
        <w:rPr>
          <w:rFonts w:cstheme="minorHAnsi"/>
          <w:sz w:val="22"/>
          <w:szCs w:val="22"/>
        </w:rPr>
        <w:t xml:space="preserve"> </w:t>
      </w:r>
    </w:p>
    <w:p w14:paraId="6DC08C15" w14:textId="77777777" w:rsidR="00703F32" w:rsidRDefault="00703F32" w:rsidP="00E80E0E">
      <w:pPr>
        <w:spacing w:line="360" w:lineRule="auto"/>
        <w:rPr>
          <w:rFonts w:cstheme="minorHAnsi"/>
          <w:sz w:val="22"/>
          <w:szCs w:val="22"/>
        </w:rPr>
      </w:pPr>
    </w:p>
    <w:p w14:paraId="510040F0" w14:textId="0E65AD93" w:rsidR="008E3015" w:rsidRDefault="00E80E0E" w:rsidP="00E80E0E">
      <w:pPr>
        <w:spacing w:line="360" w:lineRule="auto"/>
        <w:rPr>
          <w:rFonts w:cstheme="minorHAnsi"/>
          <w:sz w:val="22"/>
          <w:szCs w:val="22"/>
        </w:rPr>
      </w:pPr>
      <w:r>
        <w:rPr>
          <w:rFonts w:cstheme="minorHAnsi"/>
          <w:sz w:val="22"/>
          <w:szCs w:val="22"/>
        </w:rPr>
        <w:t xml:space="preserve">This </w:t>
      </w:r>
      <w:r w:rsidR="00666C9B">
        <w:rPr>
          <w:rFonts w:cstheme="minorHAnsi"/>
          <w:sz w:val="22"/>
          <w:szCs w:val="22"/>
        </w:rPr>
        <w:t>is</w:t>
      </w:r>
      <w:r w:rsidR="008E3015">
        <w:rPr>
          <w:rFonts w:cstheme="minorHAnsi"/>
          <w:sz w:val="22"/>
          <w:szCs w:val="22"/>
        </w:rPr>
        <w:t xml:space="preserve"> </w:t>
      </w:r>
      <w:r w:rsidR="002842F8">
        <w:rPr>
          <w:rFonts w:cstheme="minorHAnsi"/>
          <w:sz w:val="22"/>
          <w:szCs w:val="22"/>
        </w:rPr>
        <w:t>her</w:t>
      </w:r>
      <w:r w:rsidR="004E20C8">
        <w:rPr>
          <w:rFonts w:cstheme="minorHAnsi"/>
          <w:sz w:val="22"/>
          <w:szCs w:val="22"/>
        </w:rPr>
        <w:t xml:space="preserve"> </w:t>
      </w:r>
      <w:r w:rsidR="00995B2C">
        <w:rPr>
          <w:rFonts w:cstheme="minorHAnsi"/>
          <w:sz w:val="22"/>
          <w:szCs w:val="22"/>
        </w:rPr>
        <w:t>story</w:t>
      </w:r>
      <w:r>
        <w:rPr>
          <w:rFonts w:cstheme="minorHAnsi"/>
          <w:sz w:val="22"/>
          <w:szCs w:val="22"/>
        </w:rPr>
        <w:t>.</w:t>
      </w:r>
      <w:r w:rsidR="008E3015">
        <w:rPr>
          <w:rFonts w:cstheme="minorHAnsi"/>
          <w:sz w:val="22"/>
          <w:szCs w:val="22"/>
        </w:rPr>
        <w:t xml:space="preserve"> </w:t>
      </w:r>
    </w:p>
    <w:p w14:paraId="4AA5E3D3" w14:textId="5921FB8E" w:rsidR="00E80E0E" w:rsidRPr="00B2381F" w:rsidRDefault="00E80E0E" w:rsidP="00E80E0E">
      <w:pPr>
        <w:spacing w:line="360" w:lineRule="auto"/>
        <w:rPr>
          <w:rFonts w:cstheme="minorHAnsi"/>
          <w:b/>
          <w:bCs/>
          <w:sz w:val="22"/>
          <w:szCs w:val="22"/>
        </w:rPr>
      </w:pPr>
    </w:p>
    <w:p w14:paraId="07BC51A1" w14:textId="5A79649E" w:rsidR="00E80E0E" w:rsidRPr="00904504" w:rsidRDefault="00904504" w:rsidP="00904504">
      <w:pPr>
        <w:spacing w:line="360" w:lineRule="auto"/>
        <w:jc w:val="center"/>
        <w:rPr>
          <w:rFonts w:cstheme="minorHAnsi"/>
          <w:b/>
          <w:bCs/>
          <w:sz w:val="22"/>
          <w:szCs w:val="22"/>
        </w:rPr>
      </w:pPr>
      <w:r>
        <w:rPr>
          <w:rFonts w:cstheme="minorHAnsi"/>
          <w:b/>
          <w:bCs/>
          <w:sz w:val="22"/>
          <w:szCs w:val="22"/>
        </w:rPr>
        <w:t xml:space="preserve">II. </w:t>
      </w:r>
      <w:r w:rsidR="00CE253A" w:rsidRPr="00904504">
        <w:rPr>
          <w:rFonts w:cstheme="minorHAnsi"/>
          <w:b/>
          <w:bCs/>
          <w:sz w:val="22"/>
          <w:szCs w:val="22"/>
        </w:rPr>
        <w:t>WHERE PROGRESS EBBS AND FLOWS</w:t>
      </w:r>
    </w:p>
    <w:p w14:paraId="1B9B4898" w14:textId="77777777" w:rsidR="00E80E0E" w:rsidRPr="00F8400F" w:rsidRDefault="00E80E0E" w:rsidP="00E80E0E">
      <w:pPr>
        <w:spacing w:line="360" w:lineRule="auto"/>
        <w:jc w:val="center"/>
        <w:rPr>
          <w:rFonts w:cstheme="minorHAnsi"/>
          <w:sz w:val="22"/>
          <w:szCs w:val="22"/>
        </w:rPr>
      </w:pPr>
    </w:p>
    <w:p w14:paraId="112FF711" w14:textId="74106385" w:rsidR="00613AC7" w:rsidRPr="00F8400F" w:rsidRDefault="00425731" w:rsidP="00CF4E35">
      <w:pPr>
        <w:spacing w:line="360" w:lineRule="auto"/>
        <w:rPr>
          <w:rFonts w:cstheme="minorHAnsi"/>
          <w:sz w:val="22"/>
          <w:szCs w:val="22"/>
        </w:rPr>
      </w:pPr>
      <w:r w:rsidRPr="00F8400F">
        <w:rPr>
          <w:rFonts w:cstheme="minorHAnsi"/>
          <w:sz w:val="22"/>
          <w:szCs w:val="22"/>
        </w:rPr>
        <w:t>J</w:t>
      </w:r>
      <w:r w:rsidR="007D4E11" w:rsidRPr="00F8400F">
        <w:rPr>
          <w:rFonts w:cstheme="minorHAnsi"/>
          <w:sz w:val="22"/>
          <w:szCs w:val="22"/>
        </w:rPr>
        <w:t>udicial diversity is a priority without priority</w:t>
      </w:r>
      <w:r w:rsidR="00A7471C" w:rsidRPr="00F8400F">
        <w:rPr>
          <w:rFonts w:cstheme="minorHAnsi"/>
          <w:sz w:val="22"/>
          <w:szCs w:val="22"/>
        </w:rPr>
        <w:t xml:space="preserve">. </w:t>
      </w:r>
      <w:r w:rsidR="00B25D42" w:rsidRPr="00F8400F">
        <w:rPr>
          <w:rFonts w:cstheme="minorHAnsi"/>
          <w:sz w:val="22"/>
          <w:szCs w:val="22"/>
        </w:rPr>
        <w:t>Over the last decade,</w:t>
      </w:r>
      <w:r w:rsidR="0034496E" w:rsidRPr="00F8400F">
        <w:rPr>
          <w:rFonts w:cstheme="minorHAnsi"/>
          <w:sz w:val="22"/>
          <w:szCs w:val="22"/>
        </w:rPr>
        <w:t xml:space="preserve"> </w:t>
      </w:r>
      <w:r w:rsidR="00B25D42" w:rsidRPr="00F8400F">
        <w:rPr>
          <w:rFonts w:cstheme="minorHAnsi"/>
          <w:sz w:val="22"/>
          <w:szCs w:val="22"/>
        </w:rPr>
        <w:t xml:space="preserve">judicial appointments – and diversity </w:t>
      </w:r>
      <w:r w:rsidR="00080531">
        <w:rPr>
          <w:rFonts w:cstheme="minorHAnsi"/>
          <w:sz w:val="22"/>
          <w:szCs w:val="22"/>
        </w:rPr>
        <w:t>thereof</w:t>
      </w:r>
      <w:r w:rsidR="00B25D42" w:rsidRPr="00F8400F">
        <w:rPr>
          <w:rFonts w:cstheme="minorHAnsi"/>
          <w:sz w:val="22"/>
          <w:szCs w:val="22"/>
        </w:rPr>
        <w:t xml:space="preserve"> – </w:t>
      </w:r>
      <w:r w:rsidR="00233602" w:rsidRPr="00F8400F">
        <w:rPr>
          <w:rFonts w:cstheme="minorHAnsi"/>
          <w:sz w:val="22"/>
          <w:szCs w:val="22"/>
        </w:rPr>
        <w:t xml:space="preserve">have </w:t>
      </w:r>
      <w:r w:rsidR="00B25D42" w:rsidRPr="00F8400F">
        <w:rPr>
          <w:rFonts w:cstheme="minorHAnsi"/>
          <w:sz w:val="22"/>
          <w:szCs w:val="22"/>
        </w:rPr>
        <w:t xml:space="preserve">slipped down successive </w:t>
      </w:r>
      <w:r w:rsidR="004B486B" w:rsidRPr="00F8400F">
        <w:rPr>
          <w:rFonts w:cstheme="minorHAnsi"/>
          <w:sz w:val="22"/>
          <w:szCs w:val="22"/>
        </w:rPr>
        <w:t xml:space="preserve">UK </w:t>
      </w:r>
      <w:r w:rsidR="00B25D42" w:rsidRPr="00F8400F">
        <w:rPr>
          <w:rFonts w:cstheme="minorHAnsi"/>
          <w:sz w:val="22"/>
          <w:szCs w:val="22"/>
        </w:rPr>
        <w:t>governments’ agenda</w:t>
      </w:r>
      <w:r w:rsidR="004B486B" w:rsidRPr="00F8400F">
        <w:rPr>
          <w:rFonts w:cstheme="minorHAnsi"/>
          <w:sz w:val="22"/>
          <w:szCs w:val="22"/>
        </w:rPr>
        <w:t>s</w:t>
      </w:r>
      <w:r w:rsidR="00080531">
        <w:rPr>
          <w:rFonts w:cstheme="minorHAnsi"/>
          <w:sz w:val="22"/>
          <w:szCs w:val="22"/>
        </w:rPr>
        <w:t>,</w:t>
      </w:r>
      <w:r w:rsidR="00233602" w:rsidRPr="00F8400F">
        <w:rPr>
          <w:rFonts w:cstheme="minorHAnsi"/>
          <w:sz w:val="22"/>
          <w:szCs w:val="22"/>
        </w:rPr>
        <w:t xml:space="preserve"> </w:t>
      </w:r>
      <w:r w:rsidR="00613AC7">
        <w:rPr>
          <w:rFonts w:cstheme="minorHAnsi"/>
          <w:sz w:val="22"/>
          <w:szCs w:val="22"/>
        </w:rPr>
        <w:t>while</w:t>
      </w:r>
      <w:r w:rsidR="00233602" w:rsidRPr="00F8400F">
        <w:rPr>
          <w:rFonts w:cstheme="minorHAnsi"/>
          <w:sz w:val="22"/>
          <w:szCs w:val="22"/>
        </w:rPr>
        <w:t xml:space="preserve"> </w:t>
      </w:r>
      <w:r w:rsidR="00A522B0">
        <w:rPr>
          <w:rFonts w:cstheme="minorHAnsi"/>
          <w:sz w:val="22"/>
          <w:szCs w:val="22"/>
        </w:rPr>
        <w:t>those with the levers to effect change appear to have surrendered, in practi</w:t>
      </w:r>
      <w:r w:rsidR="00D46F57">
        <w:rPr>
          <w:rFonts w:cstheme="minorHAnsi"/>
          <w:sz w:val="22"/>
          <w:szCs w:val="22"/>
        </w:rPr>
        <w:t>c</w:t>
      </w:r>
      <w:r w:rsidR="00A522B0">
        <w:rPr>
          <w:rFonts w:cstheme="minorHAnsi"/>
          <w:sz w:val="22"/>
          <w:szCs w:val="22"/>
        </w:rPr>
        <w:t xml:space="preserve">e if not in rhetoric, to </w:t>
      </w:r>
      <w:r w:rsidR="00233602" w:rsidRPr="00F8400F">
        <w:rPr>
          <w:rFonts w:cstheme="minorHAnsi"/>
          <w:sz w:val="22"/>
          <w:szCs w:val="22"/>
        </w:rPr>
        <w:t>t</w:t>
      </w:r>
      <w:r w:rsidR="00B25D42" w:rsidRPr="00F8400F">
        <w:rPr>
          <w:rFonts w:cstheme="minorHAnsi"/>
          <w:sz w:val="22"/>
          <w:szCs w:val="22"/>
        </w:rPr>
        <w:t xml:space="preserve">he </w:t>
      </w:r>
      <w:r w:rsidR="0034496E" w:rsidRPr="00F8400F">
        <w:rPr>
          <w:rFonts w:cstheme="minorHAnsi"/>
          <w:sz w:val="22"/>
          <w:szCs w:val="22"/>
        </w:rPr>
        <w:t>glacially slow pace of progress.</w:t>
      </w:r>
      <w:r w:rsidR="006B1356" w:rsidRPr="00F8400F">
        <w:rPr>
          <w:rFonts w:cstheme="minorHAnsi"/>
          <w:sz w:val="22"/>
          <w:szCs w:val="22"/>
        </w:rPr>
        <w:t xml:space="preserve"> </w:t>
      </w:r>
      <w:r w:rsidR="00921FA3" w:rsidRPr="00F8400F">
        <w:rPr>
          <w:rFonts w:cstheme="minorHAnsi"/>
          <w:sz w:val="22"/>
          <w:szCs w:val="22"/>
        </w:rPr>
        <w:t>And while</w:t>
      </w:r>
      <w:r w:rsidR="006B1356" w:rsidRPr="00F8400F">
        <w:rPr>
          <w:rFonts w:cstheme="minorHAnsi"/>
          <w:sz w:val="22"/>
          <w:szCs w:val="22"/>
        </w:rPr>
        <w:t xml:space="preserve"> successive Lord Chancellors and Lord Chief Justices </w:t>
      </w:r>
      <w:r w:rsidR="009136A4" w:rsidRPr="00F8400F">
        <w:rPr>
          <w:rFonts w:cstheme="minorHAnsi"/>
          <w:sz w:val="22"/>
          <w:szCs w:val="22"/>
        </w:rPr>
        <w:t>now know</w:t>
      </w:r>
      <w:r w:rsidR="006B1356" w:rsidRPr="00F8400F">
        <w:rPr>
          <w:rFonts w:cstheme="minorHAnsi"/>
          <w:sz w:val="22"/>
          <w:szCs w:val="22"/>
        </w:rPr>
        <w:t xml:space="preserve"> better than to make predictions</w:t>
      </w:r>
      <w:r w:rsidR="00775196" w:rsidRPr="00F8400F">
        <w:rPr>
          <w:rFonts w:cstheme="minorHAnsi"/>
          <w:sz w:val="22"/>
          <w:szCs w:val="22"/>
        </w:rPr>
        <w:t>,</w:t>
      </w:r>
      <w:r w:rsidR="00080531">
        <w:rPr>
          <w:rStyle w:val="FootnoteReference"/>
          <w:rFonts w:cstheme="minorHAnsi"/>
          <w:sz w:val="22"/>
          <w:szCs w:val="22"/>
        </w:rPr>
        <w:footnoteReference w:id="21"/>
      </w:r>
      <w:r w:rsidR="00775196" w:rsidRPr="00F8400F">
        <w:rPr>
          <w:rFonts w:cstheme="minorHAnsi"/>
          <w:sz w:val="22"/>
          <w:szCs w:val="22"/>
        </w:rPr>
        <w:t xml:space="preserve"> </w:t>
      </w:r>
      <w:r w:rsidR="00604E6B" w:rsidRPr="00F8400F">
        <w:rPr>
          <w:rFonts w:cstheme="minorHAnsi"/>
          <w:sz w:val="22"/>
          <w:szCs w:val="22"/>
        </w:rPr>
        <w:t xml:space="preserve">the </w:t>
      </w:r>
      <w:r w:rsidR="00604E6B" w:rsidRPr="00F8400F">
        <w:rPr>
          <w:rFonts w:cstheme="minorHAnsi"/>
          <w:sz w:val="22"/>
          <w:szCs w:val="22"/>
        </w:rPr>
        <w:lastRenderedPageBreak/>
        <w:t xml:space="preserve">messaging </w:t>
      </w:r>
      <w:r w:rsidR="00775196" w:rsidRPr="00F8400F">
        <w:rPr>
          <w:rFonts w:cstheme="minorHAnsi"/>
          <w:sz w:val="22"/>
          <w:szCs w:val="22"/>
        </w:rPr>
        <w:t xml:space="preserve">for well over two decades now </w:t>
      </w:r>
      <w:r w:rsidR="00616BC0">
        <w:rPr>
          <w:rFonts w:cstheme="minorHAnsi"/>
          <w:sz w:val="22"/>
          <w:szCs w:val="22"/>
        </w:rPr>
        <w:t>has been</w:t>
      </w:r>
      <w:r w:rsidR="00616BC0" w:rsidRPr="00F8400F">
        <w:rPr>
          <w:rFonts w:cstheme="minorHAnsi"/>
          <w:sz w:val="22"/>
          <w:szCs w:val="22"/>
        </w:rPr>
        <w:t xml:space="preserve"> </w:t>
      </w:r>
      <w:r w:rsidR="00604E6B" w:rsidRPr="00F8400F">
        <w:rPr>
          <w:rFonts w:cstheme="minorHAnsi"/>
          <w:sz w:val="22"/>
          <w:szCs w:val="22"/>
        </w:rPr>
        <w:t xml:space="preserve">largely optimistic. Change </w:t>
      </w:r>
      <w:r w:rsidR="00921FA3" w:rsidRPr="00F8400F">
        <w:rPr>
          <w:rFonts w:cstheme="minorHAnsi"/>
          <w:sz w:val="22"/>
          <w:szCs w:val="22"/>
        </w:rPr>
        <w:t>is</w:t>
      </w:r>
      <w:r w:rsidR="00604E6B" w:rsidRPr="00F8400F">
        <w:rPr>
          <w:rFonts w:cstheme="minorHAnsi"/>
          <w:sz w:val="22"/>
          <w:szCs w:val="22"/>
        </w:rPr>
        <w:t xml:space="preserve"> coming, </w:t>
      </w:r>
      <w:r w:rsidR="00197C56" w:rsidRPr="00F8400F">
        <w:rPr>
          <w:rFonts w:cstheme="minorHAnsi"/>
          <w:sz w:val="22"/>
          <w:szCs w:val="22"/>
        </w:rPr>
        <w:t xml:space="preserve">we are told, </w:t>
      </w:r>
      <w:r w:rsidR="00604E6B" w:rsidRPr="00F8400F">
        <w:rPr>
          <w:rFonts w:cstheme="minorHAnsi"/>
          <w:sz w:val="22"/>
          <w:szCs w:val="22"/>
        </w:rPr>
        <w:t>not as fast as we might like, but coming nonetheless.</w:t>
      </w:r>
      <w:r w:rsidR="00397606">
        <w:rPr>
          <w:rStyle w:val="FootnoteReference"/>
          <w:rFonts w:cstheme="minorHAnsi"/>
          <w:sz w:val="22"/>
          <w:szCs w:val="22"/>
        </w:rPr>
        <w:footnoteReference w:id="22"/>
      </w:r>
    </w:p>
    <w:p w14:paraId="634B2052" w14:textId="5423E44C" w:rsidR="00402743" w:rsidRPr="00F8400F" w:rsidRDefault="00402743" w:rsidP="00CF4E35">
      <w:pPr>
        <w:spacing w:line="360" w:lineRule="auto"/>
        <w:rPr>
          <w:rFonts w:cstheme="minorHAnsi"/>
          <w:sz w:val="22"/>
          <w:szCs w:val="22"/>
        </w:rPr>
      </w:pPr>
    </w:p>
    <w:p w14:paraId="32F14E45" w14:textId="6C63D911" w:rsidR="004576F3" w:rsidRPr="00F8400F" w:rsidRDefault="004B486B" w:rsidP="00CF4E35">
      <w:pPr>
        <w:spacing w:line="360" w:lineRule="auto"/>
        <w:rPr>
          <w:rFonts w:cstheme="minorHAnsi"/>
          <w:sz w:val="22"/>
          <w:szCs w:val="22"/>
        </w:rPr>
      </w:pPr>
      <w:r w:rsidRPr="00F8400F">
        <w:rPr>
          <w:rFonts w:cstheme="minorHAnsi"/>
          <w:sz w:val="22"/>
          <w:szCs w:val="22"/>
        </w:rPr>
        <w:t>And in</w:t>
      </w:r>
      <w:r w:rsidR="00402743" w:rsidRPr="00F8400F">
        <w:rPr>
          <w:rFonts w:cstheme="minorHAnsi"/>
          <w:sz w:val="22"/>
          <w:szCs w:val="22"/>
        </w:rPr>
        <w:t xml:space="preserve"> the interim gains </w:t>
      </w:r>
      <w:r w:rsidR="00D46F57">
        <w:rPr>
          <w:rFonts w:cstheme="minorHAnsi"/>
          <w:sz w:val="22"/>
          <w:szCs w:val="22"/>
        </w:rPr>
        <w:t>have been</w:t>
      </w:r>
      <w:r w:rsidR="00402743" w:rsidRPr="00F8400F">
        <w:rPr>
          <w:rFonts w:cstheme="minorHAnsi"/>
          <w:sz w:val="22"/>
          <w:szCs w:val="22"/>
        </w:rPr>
        <w:t xml:space="preserve"> lost. The appointments of Lord Richards and Lord Lloyd-Jones to the UK Supreme Court in August 2022</w:t>
      </w:r>
      <w:r w:rsidR="00775196" w:rsidRPr="00F8400F">
        <w:rPr>
          <w:rFonts w:cstheme="minorHAnsi"/>
          <w:sz w:val="22"/>
          <w:szCs w:val="22"/>
        </w:rPr>
        <w:t>, and lone presence of Lady Rose,</w:t>
      </w:r>
      <w:r w:rsidR="00402743" w:rsidRPr="00F8400F">
        <w:rPr>
          <w:rFonts w:cstheme="minorHAnsi"/>
          <w:sz w:val="22"/>
          <w:szCs w:val="22"/>
        </w:rPr>
        <w:t xml:space="preserve"> </w:t>
      </w:r>
      <w:r w:rsidR="00AB3702" w:rsidRPr="00F8400F">
        <w:rPr>
          <w:rFonts w:cstheme="minorHAnsi"/>
          <w:sz w:val="22"/>
          <w:szCs w:val="22"/>
        </w:rPr>
        <w:t xml:space="preserve">highlight not only </w:t>
      </w:r>
      <w:r w:rsidR="00402743" w:rsidRPr="00F8400F">
        <w:rPr>
          <w:rFonts w:cstheme="minorHAnsi"/>
          <w:sz w:val="22"/>
          <w:szCs w:val="22"/>
        </w:rPr>
        <w:t xml:space="preserve">how far </w:t>
      </w:r>
      <w:r w:rsidR="00775196" w:rsidRPr="00F8400F">
        <w:rPr>
          <w:rFonts w:cstheme="minorHAnsi"/>
          <w:sz w:val="22"/>
          <w:szCs w:val="22"/>
        </w:rPr>
        <w:t>we</w:t>
      </w:r>
      <w:r w:rsidR="00AB3702" w:rsidRPr="00F8400F">
        <w:rPr>
          <w:rFonts w:cstheme="minorHAnsi"/>
          <w:sz w:val="22"/>
          <w:szCs w:val="22"/>
        </w:rPr>
        <w:t>’ve</w:t>
      </w:r>
      <w:r w:rsidR="00775196" w:rsidRPr="00F8400F">
        <w:rPr>
          <w:rFonts w:cstheme="minorHAnsi"/>
          <w:sz w:val="22"/>
          <w:szCs w:val="22"/>
        </w:rPr>
        <w:t xml:space="preserve"> fallen from the giddy-h</w:t>
      </w:r>
      <w:r w:rsidR="00AA1305">
        <w:rPr>
          <w:rFonts w:cstheme="minorHAnsi"/>
          <w:sz w:val="22"/>
          <w:szCs w:val="22"/>
        </w:rPr>
        <w:t>e</w:t>
      </w:r>
      <w:r w:rsidR="00775196" w:rsidRPr="00F8400F">
        <w:rPr>
          <w:rFonts w:cstheme="minorHAnsi"/>
          <w:sz w:val="22"/>
          <w:szCs w:val="22"/>
        </w:rPr>
        <w:t>ights of</w:t>
      </w:r>
      <w:r w:rsidR="00402743" w:rsidRPr="00F8400F">
        <w:rPr>
          <w:rFonts w:cstheme="minorHAnsi"/>
          <w:sz w:val="22"/>
          <w:szCs w:val="22"/>
        </w:rPr>
        <w:t xml:space="preserve"> 2018-2020</w:t>
      </w:r>
      <w:r w:rsidR="00AB3702" w:rsidRPr="00F8400F">
        <w:rPr>
          <w:rFonts w:cstheme="minorHAnsi"/>
          <w:sz w:val="22"/>
          <w:szCs w:val="22"/>
        </w:rPr>
        <w:t>, but</w:t>
      </w:r>
      <w:r w:rsidR="00423833">
        <w:rPr>
          <w:rFonts w:cstheme="minorHAnsi"/>
          <w:sz w:val="22"/>
          <w:szCs w:val="22"/>
        </w:rPr>
        <w:t xml:space="preserve"> also</w:t>
      </w:r>
      <w:r w:rsidR="00AB3702" w:rsidRPr="00F8400F">
        <w:rPr>
          <w:rFonts w:cstheme="minorHAnsi"/>
          <w:sz w:val="22"/>
          <w:szCs w:val="22"/>
        </w:rPr>
        <w:t xml:space="preserve"> </w:t>
      </w:r>
      <w:r w:rsidR="0055006E" w:rsidRPr="00F8400F">
        <w:rPr>
          <w:rFonts w:cstheme="minorHAnsi"/>
          <w:sz w:val="22"/>
          <w:szCs w:val="22"/>
        </w:rPr>
        <w:t xml:space="preserve">(and as we consistently see in feminist law reform campaigns) </w:t>
      </w:r>
      <w:r w:rsidR="00AB3702" w:rsidRPr="00F8400F">
        <w:rPr>
          <w:rFonts w:cstheme="minorHAnsi"/>
          <w:sz w:val="22"/>
          <w:szCs w:val="22"/>
        </w:rPr>
        <w:t xml:space="preserve">how </w:t>
      </w:r>
      <w:r w:rsidRPr="00F8400F">
        <w:rPr>
          <w:rFonts w:cstheme="minorHAnsi"/>
          <w:sz w:val="22"/>
          <w:szCs w:val="22"/>
        </w:rPr>
        <w:t>easily har</w:t>
      </w:r>
      <w:r w:rsidR="0055006E" w:rsidRPr="00F8400F">
        <w:rPr>
          <w:rFonts w:cstheme="minorHAnsi"/>
          <w:sz w:val="22"/>
          <w:szCs w:val="22"/>
        </w:rPr>
        <w:t>d-</w:t>
      </w:r>
      <w:r w:rsidRPr="00F8400F">
        <w:rPr>
          <w:rFonts w:cstheme="minorHAnsi"/>
          <w:sz w:val="22"/>
          <w:szCs w:val="22"/>
        </w:rPr>
        <w:t>fought gains slip away.</w:t>
      </w:r>
      <w:r w:rsidR="00C57D8B">
        <w:rPr>
          <w:rStyle w:val="FootnoteReference"/>
          <w:rFonts w:cstheme="minorHAnsi"/>
          <w:sz w:val="22"/>
          <w:szCs w:val="22"/>
        </w:rPr>
        <w:footnoteReference w:id="23"/>
      </w:r>
      <w:r w:rsidRPr="00F8400F">
        <w:rPr>
          <w:rFonts w:cstheme="minorHAnsi"/>
          <w:sz w:val="22"/>
          <w:szCs w:val="22"/>
        </w:rPr>
        <w:t xml:space="preserve"> </w:t>
      </w:r>
      <w:r w:rsidR="0055006E" w:rsidRPr="00F8400F">
        <w:rPr>
          <w:rFonts w:cstheme="minorHAnsi"/>
          <w:sz w:val="22"/>
          <w:szCs w:val="22"/>
        </w:rPr>
        <w:t>And t</w:t>
      </w:r>
      <w:r w:rsidR="00775196" w:rsidRPr="00F8400F">
        <w:rPr>
          <w:rFonts w:cstheme="minorHAnsi"/>
          <w:sz w:val="22"/>
          <w:szCs w:val="22"/>
        </w:rPr>
        <w:t>hat</w:t>
      </w:r>
      <w:r w:rsidR="00616BC0">
        <w:rPr>
          <w:rFonts w:cstheme="minorHAnsi"/>
          <w:sz w:val="22"/>
          <w:szCs w:val="22"/>
        </w:rPr>
        <w:t xml:space="preserve"> is </w:t>
      </w:r>
      <w:r w:rsidR="00D46F57">
        <w:rPr>
          <w:rFonts w:cstheme="minorHAnsi"/>
          <w:sz w:val="22"/>
          <w:szCs w:val="22"/>
        </w:rPr>
        <w:t xml:space="preserve">in places </w:t>
      </w:r>
      <w:r w:rsidR="00616BC0">
        <w:rPr>
          <w:rFonts w:cstheme="minorHAnsi"/>
          <w:sz w:val="22"/>
          <w:szCs w:val="22"/>
        </w:rPr>
        <w:t xml:space="preserve">where </w:t>
      </w:r>
      <w:r w:rsidR="00775196" w:rsidRPr="00F8400F">
        <w:rPr>
          <w:rFonts w:cstheme="minorHAnsi"/>
          <w:sz w:val="22"/>
          <w:szCs w:val="22"/>
        </w:rPr>
        <w:t xml:space="preserve">gains had been made. This is not always the case. </w:t>
      </w:r>
      <w:r w:rsidR="008D3584">
        <w:rPr>
          <w:rFonts w:cstheme="minorHAnsi"/>
          <w:sz w:val="22"/>
          <w:szCs w:val="22"/>
        </w:rPr>
        <w:t>T</w:t>
      </w:r>
      <w:r w:rsidR="004B1855">
        <w:rPr>
          <w:rFonts w:cstheme="minorHAnsi"/>
          <w:sz w:val="22"/>
          <w:szCs w:val="22"/>
        </w:rPr>
        <w:t xml:space="preserve">he </w:t>
      </w:r>
      <w:r w:rsidR="00402743" w:rsidRPr="00F8400F">
        <w:rPr>
          <w:rFonts w:cstheme="minorHAnsi"/>
          <w:sz w:val="22"/>
          <w:szCs w:val="22"/>
        </w:rPr>
        <w:t xml:space="preserve">Supreme Court </w:t>
      </w:r>
      <w:r w:rsidR="008D3584">
        <w:rPr>
          <w:rFonts w:cstheme="minorHAnsi"/>
          <w:sz w:val="22"/>
          <w:szCs w:val="22"/>
        </w:rPr>
        <w:t>has</w:t>
      </w:r>
      <w:r w:rsidR="00402743" w:rsidRPr="00F8400F">
        <w:rPr>
          <w:rFonts w:cstheme="minorHAnsi"/>
          <w:sz w:val="22"/>
          <w:szCs w:val="22"/>
        </w:rPr>
        <w:t xml:space="preserve"> been operational for best part of </w:t>
      </w:r>
      <w:r w:rsidR="008D3584">
        <w:rPr>
          <w:rFonts w:cstheme="minorHAnsi"/>
          <w:sz w:val="22"/>
          <w:szCs w:val="22"/>
        </w:rPr>
        <w:t>one and half</w:t>
      </w:r>
      <w:r w:rsidR="00402743" w:rsidRPr="00F8400F">
        <w:rPr>
          <w:rFonts w:cstheme="minorHAnsi"/>
          <w:sz w:val="22"/>
          <w:szCs w:val="22"/>
        </w:rPr>
        <w:t xml:space="preserve"> decades</w:t>
      </w:r>
      <w:r w:rsidR="004B1855">
        <w:rPr>
          <w:rFonts w:cstheme="minorHAnsi"/>
          <w:sz w:val="22"/>
          <w:szCs w:val="22"/>
        </w:rPr>
        <w:t xml:space="preserve"> </w:t>
      </w:r>
      <w:r w:rsidR="008D3584">
        <w:rPr>
          <w:rFonts w:cstheme="minorHAnsi"/>
          <w:sz w:val="22"/>
          <w:szCs w:val="22"/>
        </w:rPr>
        <w:t xml:space="preserve">during which time none of the </w:t>
      </w:r>
      <w:r w:rsidR="004B1855">
        <w:rPr>
          <w:rFonts w:cstheme="minorHAnsi"/>
          <w:sz w:val="22"/>
          <w:szCs w:val="22"/>
        </w:rPr>
        <w:t>33 appointments</w:t>
      </w:r>
      <w:r w:rsidR="008D3584">
        <w:rPr>
          <w:rFonts w:cstheme="minorHAnsi"/>
          <w:sz w:val="22"/>
          <w:szCs w:val="22"/>
        </w:rPr>
        <w:t xml:space="preserve"> has been of a </w:t>
      </w:r>
      <w:r w:rsidR="008D3584" w:rsidRPr="00F8400F">
        <w:rPr>
          <w:rFonts w:cstheme="minorHAnsi"/>
          <w:sz w:val="22"/>
          <w:szCs w:val="22"/>
        </w:rPr>
        <w:t>Justice from a minoritised ethnic background</w:t>
      </w:r>
      <w:r w:rsidR="008D3584">
        <w:rPr>
          <w:rFonts w:cstheme="minorHAnsi"/>
          <w:sz w:val="22"/>
          <w:szCs w:val="22"/>
        </w:rPr>
        <w:t xml:space="preserve">. </w:t>
      </w:r>
      <w:r w:rsidR="00775196" w:rsidRPr="00F8400F">
        <w:rPr>
          <w:rFonts w:cstheme="minorHAnsi"/>
          <w:sz w:val="22"/>
          <w:szCs w:val="22"/>
        </w:rPr>
        <w:t>And even</w:t>
      </w:r>
      <w:r w:rsidR="00423833">
        <w:rPr>
          <w:rFonts w:cstheme="minorHAnsi"/>
          <w:sz w:val="22"/>
          <w:szCs w:val="22"/>
        </w:rPr>
        <w:t xml:space="preserve"> if </w:t>
      </w:r>
      <w:r w:rsidR="008D3584">
        <w:rPr>
          <w:rFonts w:cstheme="minorHAnsi"/>
          <w:sz w:val="22"/>
          <w:szCs w:val="22"/>
        </w:rPr>
        <w:t>a</w:t>
      </w:r>
      <w:r w:rsidR="00D46F57">
        <w:rPr>
          <w:rFonts w:cstheme="minorHAnsi"/>
          <w:sz w:val="22"/>
          <w:szCs w:val="22"/>
        </w:rPr>
        <w:t xml:space="preserve"> Justice from a minoritised ethic background is appointed</w:t>
      </w:r>
      <w:r w:rsidR="008D3584">
        <w:rPr>
          <w:rFonts w:cstheme="minorHAnsi"/>
          <w:sz w:val="22"/>
          <w:szCs w:val="22"/>
        </w:rPr>
        <w:t xml:space="preserve"> in the latest recruitment round, announced in April 2023</w:t>
      </w:r>
      <w:r w:rsidR="0055006E" w:rsidRPr="00F8400F">
        <w:rPr>
          <w:rFonts w:cstheme="minorHAnsi"/>
          <w:sz w:val="22"/>
          <w:szCs w:val="22"/>
        </w:rPr>
        <w:t xml:space="preserve"> – </w:t>
      </w:r>
      <w:r w:rsidR="002227BE">
        <w:rPr>
          <w:rFonts w:cstheme="minorHAnsi"/>
          <w:sz w:val="22"/>
          <w:szCs w:val="22"/>
        </w:rPr>
        <w:t xml:space="preserve">and this is by no means guaranteed – </w:t>
      </w:r>
      <w:r w:rsidR="0023172E">
        <w:rPr>
          <w:rFonts w:cstheme="minorHAnsi"/>
          <w:sz w:val="22"/>
          <w:szCs w:val="22"/>
        </w:rPr>
        <w:t xml:space="preserve">diverse </w:t>
      </w:r>
      <w:r w:rsidR="0055006E" w:rsidRPr="00F8400F">
        <w:rPr>
          <w:rFonts w:cstheme="minorHAnsi"/>
          <w:sz w:val="22"/>
          <w:szCs w:val="22"/>
        </w:rPr>
        <w:t xml:space="preserve">representation on the </w:t>
      </w:r>
      <w:r w:rsidR="00AA1305">
        <w:rPr>
          <w:rFonts w:cstheme="minorHAnsi"/>
          <w:sz w:val="22"/>
          <w:szCs w:val="22"/>
        </w:rPr>
        <w:t>Supreme Court</w:t>
      </w:r>
      <w:r w:rsidR="0055006E" w:rsidRPr="00F8400F">
        <w:rPr>
          <w:rFonts w:cstheme="minorHAnsi"/>
          <w:sz w:val="22"/>
          <w:szCs w:val="22"/>
        </w:rPr>
        <w:t xml:space="preserve"> will still</w:t>
      </w:r>
      <w:r w:rsidR="00423833">
        <w:rPr>
          <w:rFonts w:cstheme="minorHAnsi"/>
          <w:sz w:val="22"/>
          <w:szCs w:val="22"/>
        </w:rPr>
        <w:t xml:space="preserve"> be</w:t>
      </w:r>
      <w:r w:rsidR="00197C56" w:rsidRPr="00F8400F">
        <w:rPr>
          <w:rFonts w:cstheme="minorHAnsi"/>
          <w:sz w:val="22"/>
          <w:szCs w:val="22"/>
        </w:rPr>
        <w:t xml:space="preserve"> somew</w:t>
      </w:r>
      <w:r w:rsidR="00423833">
        <w:rPr>
          <w:rFonts w:cstheme="minorHAnsi"/>
          <w:sz w:val="22"/>
          <w:szCs w:val="22"/>
        </w:rPr>
        <w:t>hat</w:t>
      </w:r>
      <w:r w:rsidR="00197C56" w:rsidRPr="00F8400F">
        <w:rPr>
          <w:rFonts w:cstheme="minorHAnsi"/>
          <w:sz w:val="22"/>
          <w:szCs w:val="22"/>
        </w:rPr>
        <w:t xml:space="preserve"> short of the </w:t>
      </w:r>
      <w:r w:rsidRPr="00F8400F">
        <w:rPr>
          <w:rFonts w:cstheme="minorHAnsi"/>
          <w:sz w:val="22"/>
          <w:szCs w:val="22"/>
        </w:rPr>
        <w:t>‘reasonable</w:t>
      </w:r>
      <w:r w:rsidR="00CE253A">
        <w:rPr>
          <w:rFonts w:cstheme="minorHAnsi"/>
          <w:sz w:val="22"/>
          <w:szCs w:val="22"/>
        </w:rPr>
        <w:t xml:space="preserve"> and achievable</w:t>
      </w:r>
      <w:r w:rsidRPr="00F8400F">
        <w:rPr>
          <w:rFonts w:cstheme="minorHAnsi"/>
          <w:sz w:val="22"/>
          <w:szCs w:val="22"/>
        </w:rPr>
        <w:t xml:space="preserve"> </w:t>
      </w:r>
      <w:r w:rsidR="00197C56" w:rsidRPr="00F8400F">
        <w:rPr>
          <w:rFonts w:cstheme="minorHAnsi"/>
          <w:sz w:val="22"/>
          <w:szCs w:val="22"/>
        </w:rPr>
        <w:t>target</w:t>
      </w:r>
      <w:r w:rsidRPr="00F8400F">
        <w:rPr>
          <w:rFonts w:cstheme="minorHAnsi"/>
          <w:sz w:val="22"/>
          <w:szCs w:val="22"/>
        </w:rPr>
        <w:t>’</w:t>
      </w:r>
      <w:r w:rsidR="008900CE">
        <w:rPr>
          <w:rFonts w:cstheme="minorHAnsi"/>
          <w:sz w:val="22"/>
          <w:szCs w:val="22"/>
        </w:rPr>
        <w:t xml:space="preserve"> </w:t>
      </w:r>
      <w:r w:rsidR="002227BE" w:rsidRPr="00F8400F">
        <w:rPr>
          <w:rFonts w:cstheme="minorHAnsi"/>
          <w:sz w:val="22"/>
          <w:szCs w:val="22"/>
        </w:rPr>
        <w:t>set by JUSTICE in 201</w:t>
      </w:r>
      <w:r w:rsidR="002227BE">
        <w:rPr>
          <w:rFonts w:cstheme="minorHAnsi"/>
          <w:sz w:val="22"/>
          <w:szCs w:val="22"/>
        </w:rPr>
        <w:t xml:space="preserve">7 </w:t>
      </w:r>
      <w:r w:rsidR="00613AC7">
        <w:rPr>
          <w:rFonts w:cstheme="minorHAnsi"/>
          <w:sz w:val="22"/>
          <w:szCs w:val="22"/>
        </w:rPr>
        <w:t>‘</w:t>
      </w:r>
      <w:r w:rsidR="008900CE">
        <w:rPr>
          <w:rFonts w:cstheme="minorHAnsi"/>
          <w:sz w:val="22"/>
          <w:szCs w:val="22"/>
        </w:rPr>
        <w:t>of</w:t>
      </w:r>
      <w:r w:rsidR="00197C56" w:rsidRPr="00F8400F">
        <w:rPr>
          <w:rFonts w:cstheme="minorHAnsi"/>
          <w:sz w:val="22"/>
          <w:szCs w:val="22"/>
        </w:rPr>
        <w:t xml:space="preserve"> </w:t>
      </w:r>
      <w:r w:rsidR="008900CE" w:rsidRPr="00F8400F">
        <w:rPr>
          <w:rStyle w:val="A6"/>
          <w:rFonts w:cstheme="minorHAnsi"/>
          <w:sz w:val="22"/>
          <w:szCs w:val="22"/>
        </w:rPr>
        <w:t>at least two non-white Justices and a maximum of seven white men by 2026</w:t>
      </w:r>
      <w:r w:rsidR="00613AC7">
        <w:rPr>
          <w:rStyle w:val="A6"/>
          <w:rFonts w:cstheme="minorHAnsi"/>
          <w:sz w:val="22"/>
          <w:szCs w:val="22"/>
        </w:rPr>
        <w:t>’</w:t>
      </w:r>
      <w:r w:rsidR="008900CE">
        <w:rPr>
          <w:rFonts w:cstheme="minorHAnsi"/>
          <w:sz w:val="22"/>
          <w:szCs w:val="22"/>
        </w:rPr>
        <w:t>.</w:t>
      </w:r>
      <w:r w:rsidR="00CE253A">
        <w:rPr>
          <w:rStyle w:val="FootnoteReference"/>
          <w:rFonts w:cstheme="minorHAnsi"/>
          <w:sz w:val="22"/>
          <w:szCs w:val="22"/>
        </w:rPr>
        <w:footnoteReference w:id="24"/>
      </w:r>
      <w:r w:rsidR="00684CBD">
        <w:rPr>
          <w:rFonts w:cstheme="minorHAnsi"/>
          <w:sz w:val="22"/>
          <w:szCs w:val="22"/>
        </w:rPr>
        <w:t xml:space="preserve"> </w:t>
      </w:r>
      <w:r w:rsidR="00C55182" w:rsidRPr="00F8400F">
        <w:rPr>
          <w:rFonts w:cstheme="minorHAnsi"/>
          <w:sz w:val="22"/>
          <w:szCs w:val="22"/>
        </w:rPr>
        <w:t>A</w:t>
      </w:r>
      <w:r w:rsidR="00F32CA0" w:rsidRPr="00F8400F">
        <w:rPr>
          <w:rFonts w:cstheme="minorHAnsi"/>
          <w:sz w:val="22"/>
          <w:szCs w:val="22"/>
        </w:rPr>
        <w:t>t the same time,</w:t>
      </w:r>
      <w:r w:rsidR="00B51CDF" w:rsidRPr="00F8400F">
        <w:rPr>
          <w:rFonts w:cstheme="minorHAnsi"/>
          <w:sz w:val="22"/>
          <w:szCs w:val="22"/>
        </w:rPr>
        <w:t xml:space="preserve"> </w:t>
      </w:r>
      <w:r w:rsidR="00775196" w:rsidRPr="00F8400F">
        <w:rPr>
          <w:rFonts w:cstheme="minorHAnsi"/>
          <w:sz w:val="22"/>
          <w:szCs w:val="22"/>
        </w:rPr>
        <w:t xml:space="preserve">there’s a danger that </w:t>
      </w:r>
      <w:r w:rsidR="00B51CDF" w:rsidRPr="00F8400F">
        <w:rPr>
          <w:rFonts w:cstheme="minorHAnsi"/>
          <w:sz w:val="22"/>
          <w:szCs w:val="22"/>
        </w:rPr>
        <w:t>d</w:t>
      </w:r>
      <w:r w:rsidR="003529CE" w:rsidRPr="00F8400F">
        <w:rPr>
          <w:rFonts w:cstheme="minorHAnsi"/>
          <w:sz w:val="22"/>
          <w:szCs w:val="22"/>
        </w:rPr>
        <w:t>ebate</w:t>
      </w:r>
      <w:r w:rsidR="00126B32" w:rsidRPr="00F8400F">
        <w:rPr>
          <w:rFonts w:cstheme="minorHAnsi"/>
          <w:sz w:val="22"/>
          <w:szCs w:val="22"/>
        </w:rPr>
        <w:t>s</w:t>
      </w:r>
      <w:r w:rsidR="003529CE" w:rsidRPr="00F8400F">
        <w:rPr>
          <w:rFonts w:cstheme="minorHAnsi"/>
          <w:sz w:val="22"/>
          <w:szCs w:val="22"/>
        </w:rPr>
        <w:t xml:space="preserve"> </w:t>
      </w:r>
      <w:r w:rsidR="00126B32" w:rsidRPr="00F8400F">
        <w:rPr>
          <w:rFonts w:cstheme="minorHAnsi"/>
          <w:sz w:val="22"/>
          <w:szCs w:val="22"/>
        </w:rPr>
        <w:t xml:space="preserve">about what to do </w:t>
      </w:r>
      <w:r w:rsidR="00775196" w:rsidRPr="00F8400F">
        <w:rPr>
          <w:rFonts w:cstheme="minorHAnsi"/>
          <w:sz w:val="22"/>
          <w:szCs w:val="22"/>
        </w:rPr>
        <w:t xml:space="preserve">about judicial diversity </w:t>
      </w:r>
      <w:r w:rsidR="00126B32" w:rsidRPr="00F8400F">
        <w:rPr>
          <w:rFonts w:cstheme="minorHAnsi"/>
          <w:sz w:val="22"/>
          <w:szCs w:val="22"/>
        </w:rPr>
        <w:t xml:space="preserve">and why it </w:t>
      </w:r>
      <w:r w:rsidR="002227BE">
        <w:rPr>
          <w:rFonts w:cstheme="minorHAnsi"/>
          <w:sz w:val="22"/>
          <w:szCs w:val="22"/>
        </w:rPr>
        <w:t>is</w:t>
      </w:r>
      <w:r w:rsidR="00126B32" w:rsidRPr="00F8400F">
        <w:rPr>
          <w:rFonts w:cstheme="minorHAnsi"/>
          <w:sz w:val="22"/>
          <w:szCs w:val="22"/>
        </w:rPr>
        <w:t xml:space="preserve"> important </w:t>
      </w:r>
      <w:r w:rsidRPr="00F8400F">
        <w:rPr>
          <w:rFonts w:cstheme="minorHAnsi"/>
          <w:sz w:val="22"/>
          <w:szCs w:val="22"/>
        </w:rPr>
        <w:t>have gone</w:t>
      </w:r>
      <w:r w:rsidR="00126B32" w:rsidRPr="00F8400F">
        <w:rPr>
          <w:rFonts w:cstheme="minorHAnsi"/>
          <w:sz w:val="22"/>
          <w:szCs w:val="22"/>
        </w:rPr>
        <w:t xml:space="preserve"> s</w:t>
      </w:r>
      <w:r w:rsidR="00DF334C" w:rsidRPr="00F8400F">
        <w:rPr>
          <w:rFonts w:cstheme="minorHAnsi"/>
          <w:sz w:val="22"/>
          <w:szCs w:val="22"/>
        </w:rPr>
        <w:t xml:space="preserve">tale, </w:t>
      </w:r>
      <w:r w:rsidR="003529CE" w:rsidRPr="00F8400F">
        <w:rPr>
          <w:rFonts w:cstheme="minorHAnsi"/>
          <w:sz w:val="22"/>
          <w:szCs w:val="22"/>
        </w:rPr>
        <w:t>stymied</w:t>
      </w:r>
      <w:r w:rsidR="00DF334C" w:rsidRPr="00F8400F">
        <w:rPr>
          <w:rFonts w:cstheme="minorHAnsi"/>
          <w:sz w:val="22"/>
          <w:szCs w:val="22"/>
        </w:rPr>
        <w:t xml:space="preserve"> by </w:t>
      </w:r>
      <w:r w:rsidR="00C55182" w:rsidRPr="00F8400F">
        <w:rPr>
          <w:rFonts w:cstheme="minorHAnsi"/>
          <w:sz w:val="22"/>
          <w:szCs w:val="22"/>
        </w:rPr>
        <w:t xml:space="preserve">a mix of </w:t>
      </w:r>
      <w:r w:rsidR="00126B32" w:rsidRPr="00F8400F">
        <w:rPr>
          <w:rFonts w:cstheme="minorHAnsi"/>
          <w:sz w:val="22"/>
          <w:szCs w:val="22"/>
        </w:rPr>
        <w:t>familiarity</w:t>
      </w:r>
      <w:r w:rsidR="00C55182" w:rsidRPr="00F8400F">
        <w:rPr>
          <w:rFonts w:cstheme="minorHAnsi"/>
          <w:sz w:val="22"/>
          <w:szCs w:val="22"/>
        </w:rPr>
        <w:t xml:space="preserve"> and </w:t>
      </w:r>
      <w:r w:rsidR="00197C56" w:rsidRPr="00F8400F">
        <w:rPr>
          <w:rFonts w:cstheme="minorHAnsi"/>
          <w:sz w:val="22"/>
          <w:szCs w:val="22"/>
        </w:rPr>
        <w:t>neglect</w:t>
      </w:r>
      <w:r w:rsidR="00604E6B" w:rsidRPr="00F8400F">
        <w:rPr>
          <w:rFonts w:cstheme="minorHAnsi"/>
          <w:sz w:val="22"/>
          <w:szCs w:val="22"/>
        </w:rPr>
        <w:t>.</w:t>
      </w:r>
      <w:r w:rsidR="00E2479F">
        <w:rPr>
          <w:rStyle w:val="FootnoteReference"/>
          <w:rFonts w:cstheme="minorHAnsi"/>
          <w:sz w:val="22"/>
          <w:szCs w:val="22"/>
        </w:rPr>
        <w:footnoteReference w:id="25"/>
      </w:r>
      <w:r w:rsidR="00775196" w:rsidRPr="00F8400F">
        <w:rPr>
          <w:rFonts w:cstheme="minorHAnsi"/>
          <w:sz w:val="22"/>
          <w:szCs w:val="22"/>
        </w:rPr>
        <w:t xml:space="preserve"> </w:t>
      </w:r>
      <w:r w:rsidRPr="00F8400F">
        <w:rPr>
          <w:rFonts w:cstheme="minorHAnsi"/>
          <w:sz w:val="22"/>
          <w:szCs w:val="22"/>
        </w:rPr>
        <w:t>Moreover, r</w:t>
      </w:r>
      <w:r w:rsidR="0034496E" w:rsidRPr="00F8400F">
        <w:rPr>
          <w:rFonts w:cstheme="minorHAnsi"/>
          <w:sz w:val="22"/>
          <w:szCs w:val="22"/>
        </w:rPr>
        <w:t xml:space="preserve">eigniting conversations about </w:t>
      </w:r>
      <w:r w:rsidR="003529CE" w:rsidRPr="00F8400F">
        <w:rPr>
          <w:rFonts w:cstheme="minorHAnsi"/>
          <w:sz w:val="22"/>
          <w:szCs w:val="22"/>
        </w:rPr>
        <w:t xml:space="preserve">judicial </w:t>
      </w:r>
      <w:r w:rsidR="002D7CB1" w:rsidRPr="00F8400F">
        <w:rPr>
          <w:rFonts w:cstheme="minorHAnsi"/>
          <w:i/>
          <w:iCs/>
          <w:sz w:val="22"/>
          <w:szCs w:val="22"/>
        </w:rPr>
        <w:t>diversity</w:t>
      </w:r>
      <w:r w:rsidR="002D7CB1" w:rsidRPr="00F8400F">
        <w:rPr>
          <w:rFonts w:cstheme="minorHAnsi"/>
          <w:sz w:val="22"/>
          <w:szCs w:val="22"/>
        </w:rPr>
        <w:t xml:space="preserve"> </w:t>
      </w:r>
      <w:r w:rsidR="00775196" w:rsidRPr="00F8400F">
        <w:rPr>
          <w:rFonts w:cstheme="minorHAnsi"/>
          <w:sz w:val="22"/>
          <w:szCs w:val="22"/>
        </w:rPr>
        <w:t xml:space="preserve">in the current climate might </w:t>
      </w:r>
      <w:r w:rsidR="002D7CB1" w:rsidRPr="00F8400F">
        <w:rPr>
          <w:rFonts w:cstheme="minorHAnsi"/>
          <w:sz w:val="22"/>
          <w:szCs w:val="22"/>
        </w:rPr>
        <w:t>seem</w:t>
      </w:r>
      <w:r w:rsidR="00775196" w:rsidRPr="00F8400F">
        <w:rPr>
          <w:rFonts w:cstheme="minorHAnsi"/>
          <w:sz w:val="22"/>
          <w:szCs w:val="22"/>
        </w:rPr>
        <w:t xml:space="preserve"> </w:t>
      </w:r>
      <w:r w:rsidR="002D7CB1" w:rsidRPr="00F8400F">
        <w:rPr>
          <w:rFonts w:cstheme="minorHAnsi"/>
          <w:sz w:val="22"/>
          <w:szCs w:val="22"/>
        </w:rPr>
        <w:t>somewhat</w:t>
      </w:r>
      <w:r w:rsidR="00945543" w:rsidRPr="00F8400F">
        <w:rPr>
          <w:rFonts w:cstheme="minorHAnsi"/>
          <w:sz w:val="22"/>
          <w:szCs w:val="22"/>
        </w:rPr>
        <w:t xml:space="preserve"> misplaced</w:t>
      </w:r>
      <w:r w:rsidR="00AA1305">
        <w:rPr>
          <w:rFonts w:cstheme="minorHAnsi"/>
          <w:sz w:val="22"/>
          <w:szCs w:val="22"/>
        </w:rPr>
        <w:t xml:space="preserve"> given </w:t>
      </w:r>
      <w:r w:rsidR="003529CE" w:rsidRPr="00F8400F">
        <w:rPr>
          <w:rFonts w:cstheme="minorHAnsi"/>
          <w:sz w:val="22"/>
          <w:szCs w:val="22"/>
        </w:rPr>
        <w:t>deepen</w:t>
      </w:r>
      <w:r w:rsidR="00126B32" w:rsidRPr="00F8400F">
        <w:rPr>
          <w:rFonts w:cstheme="minorHAnsi"/>
          <w:sz w:val="22"/>
          <w:szCs w:val="22"/>
        </w:rPr>
        <w:t>ing</w:t>
      </w:r>
      <w:r w:rsidR="003529CE" w:rsidRPr="00F8400F">
        <w:rPr>
          <w:rFonts w:cstheme="minorHAnsi"/>
          <w:sz w:val="22"/>
          <w:szCs w:val="22"/>
        </w:rPr>
        <w:t xml:space="preserve"> crisis </w:t>
      </w:r>
      <w:r w:rsidR="00775196" w:rsidRPr="00F8400F">
        <w:rPr>
          <w:rFonts w:cstheme="minorHAnsi"/>
          <w:sz w:val="22"/>
          <w:szCs w:val="22"/>
        </w:rPr>
        <w:t>across</w:t>
      </w:r>
      <w:r w:rsidR="003529CE" w:rsidRPr="00F8400F">
        <w:rPr>
          <w:rFonts w:cstheme="minorHAnsi"/>
          <w:sz w:val="22"/>
          <w:szCs w:val="22"/>
        </w:rPr>
        <w:t xml:space="preserve"> the criminal justice </w:t>
      </w:r>
      <w:r w:rsidR="00775196" w:rsidRPr="00F8400F">
        <w:rPr>
          <w:rFonts w:cstheme="minorHAnsi"/>
          <w:sz w:val="22"/>
          <w:szCs w:val="22"/>
        </w:rPr>
        <w:t xml:space="preserve">and justice </w:t>
      </w:r>
      <w:r w:rsidR="003529CE" w:rsidRPr="00F8400F">
        <w:rPr>
          <w:rFonts w:cstheme="minorHAnsi"/>
          <w:sz w:val="22"/>
          <w:szCs w:val="22"/>
        </w:rPr>
        <w:t>system</w:t>
      </w:r>
      <w:r w:rsidR="00775196" w:rsidRPr="00F8400F">
        <w:rPr>
          <w:rFonts w:cstheme="minorHAnsi"/>
          <w:sz w:val="22"/>
          <w:szCs w:val="22"/>
        </w:rPr>
        <w:t xml:space="preserve"> more broadly</w:t>
      </w:r>
      <w:r w:rsidR="003529CE" w:rsidRPr="00F8400F">
        <w:rPr>
          <w:rFonts w:cstheme="minorHAnsi"/>
          <w:sz w:val="22"/>
          <w:szCs w:val="22"/>
        </w:rPr>
        <w:t xml:space="preserve"> in</w:t>
      </w:r>
      <w:r w:rsidR="002D7CB1" w:rsidRPr="00F8400F">
        <w:rPr>
          <w:rFonts w:cstheme="minorHAnsi"/>
          <w:sz w:val="22"/>
          <w:szCs w:val="22"/>
        </w:rPr>
        <w:t xml:space="preserve"> England &amp; Wales</w:t>
      </w:r>
      <w:r w:rsidR="004B1855">
        <w:rPr>
          <w:rFonts w:cstheme="minorHAnsi"/>
          <w:sz w:val="22"/>
          <w:szCs w:val="22"/>
        </w:rPr>
        <w:t>, with</w:t>
      </w:r>
      <w:r w:rsidR="00613AC7">
        <w:rPr>
          <w:rFonts w:cstheme="minorHAnsi"/>
          <w:sz w:val="22"/>
          <w:szCs w:val="22"/>
        </w:rPr>
        <w:t xml:space="preserve"> </w:t>
      </w:r>
      <w:r w:rsidR="00126B32" w:rsidRPr="00F8400F">
        <w:rPr>
          <w:rFonts w:cstheme="minorHAnsi"/>
          <w:sz w:val="22"/>
          <w:szCs w:val="22"/>
        </w:rPr>
        <w:t xml:space="preserve">decades of </w:t>
      </w:r>
      <w:r w:rsidR="00197C56" w:rsidRPr="00F8400F">
        <w:rPr>
          <w:rFonts w:cstheme="minorHAnsi"/>
          <w:sz w:val="22"/>
          <w:szCs w:val="22"/>
        </w:rPr>
        <w:t xml:space="preserve">inadequate </w:t>
      </w:r>
      <w:r w:rsidR="00126B32" w:rsidRPr="00F8400F">
        <w:rPr>
          <w:rFonts w:cstheme="minorHAnsi"/>
          <w:sz w:val="22"/>
          <w:szCs w:val="22"/>
        </w:rPr>
        <w:t>resourcing</w:t>
      </w:r>
      <w:r w:rsidR="00613AC7">
        <w:rPr>
          <w:rFonts w:cstheme="minorHAnsi"/>
          <w:sz w:val="22"/>
          <w:szCs w:val="22"/>
        </w:rPr>
        <w:t xml:space="preserve">, </w:t>
      </w:r>
      <w:r w:rsidR="00126B32" w:rsidRPr="00F8400F">
        <w:rPr>
          <w:rFonts w:cstheme="minorHAnsi"/>
          <w:sz w:val="22"/>
          <w:szCs w:val="22"/>
        </w:rPr>
        <w:t xml:space="preserve">court backlogs, industrial action, </w:t>
      </w:r>
      <w:r w:rsidR="00EC7C85">
        <w:rPr>
          <w:rFonts w:cstheme="minorHAnsi"/>
          <w:sz w:val="22"/>
          <w:szCs w:val="22"/>
        </w:rPr>
        <w:t xml:space="preserve">low </w:t>
      </w:r>
      <w:r w:rsidR="003529CE" w:rsidRPr="00F8400F">
        <w:rPr>
          <w:rFonts w:cstheme="minorHAnsi"/>
          <w:sz w:val="22"/>
          <w:szCs w:val="22"/>
        </w:rPr>
        <w:t xml:space="preserve">morale, and </w:t>
      </w:r>
      <w:r w:rsidR="000903F8" w:rsidRPr="00F8400F">
        <w:rPr>
          <w:rFonts w:cstheme="minorHAnsi"/>
          <w:sz w:val="22"/>
          <w:szCs w:val="22"/>
        </w:rPr>
        <w:t>unfilled</w:t>
      </w:r>
      <w:r w:rsidRPr="00F8400F">
        <w:rPr>
          <w:rFonts w:cstheme="minorHAnsi"/>
          <w:sz w:val="22"/>
          <w:szCs w:val="22"/>
        </w:rPr>
        <w:t xml:space="preserve"> judicial</w:t>
      </w:r>
      <w:r w:rsidR="000903F8" w:rsidRPr="00F8400F">
        <w:rPr>
          <w:rFonts w:cstheme="minorHAnsi"/>
          <w:sz w:val="22"/>
          <w:szCs w:val="22"/>
        </w:rPr>
        <w:t xml:space="preserve"> </w:t>
      </w:r>
      <w:r w:rsidR="003529CE" w:rsidRPr="00F8400F">
        <w:rPr>
          <w:rFonts w:cstheme="minorHAnsi"/>
          <w:sz w:val="22"/>
          <w:szCs w:val="22"/>
        </w:rPr>
        <w:t>vacancies.</w:t>
      </w:r>
      <w:r w:rsidR="00645C23">
        <w:rPr>
          <w:rStyle w:val="FootnoteReference"/>
          <w:rFonts w:cstheme="minorHAnsi"/>
          <w:sz w:val="22"/>
          <w:szCs w:val="22"/>
        </w:rPr>
        <w:footnoteReference w:id="26"/>
      </w:r>
      <w:r w:rsidR="003529CE" w:rsidRPr="00F8400F">
        <w:rPr>
          <w:rFonts w:cstheme="minorHAnsi"/>
          <w:sz w:val="22"/>
          <w:szCs w:val="22"/>
        </w:rPr>
        <w:t xml:space="preserve"> </w:t>
      </w:r>
    </w:p>
    <w:p w14:paraId="69DF0E33" w14:textId="77777777" w:rsidR="00E367AB" w:rsidRPr="00F8400F" w:rsidRDefault="00E367AB" w:rsidP="00E367AB">
      <w:pPr>
        <w:spacing w:line="360" w:lineRule="auto"/>
        <w:rPr>
          <w:rFonts w:cstheme="minorHAnsi"/>
          <w:sz w:val="22"/>
          <w:szCs w:val="22"/>
        </w:rPr>
      </w:pPr>
    </w:p>
    <w:p w14:paraId="292A9662" w14:textId="1AE8DA32" w:rsidR="003E5838" w:rsidRPr="00F8400F" w:rsidRDefault="00E2479F" w:rsidP="00E367AB">
      <w:pPr>
        <w:spacing w:line="360" w:lineRule="auto"/>
        <w:rPr>
          <w:rFonts w:cstheme="minorHAnsi"/>
          <w:sz w:val="22"/>
          <w:szCs w:val="22"/>
        </w:rPr>
      </w:pPr>
      <w:r>
        <w:rPr>
          <w:rFonts w:cstheme="minorHAnsi"/>
          <w:sz w:val="22"/>
          <w:szCs w:val="22"/>
        </w:rPr>
        <w:t>That said</w:t>
      </w:r>
      <w:r w:rsidR="004E20C8">
        <w:rPr>
          <w:rFonts w:cstheme="minorHAnsi"/>
          <w:sz w:val="22"/>
          <w:szCs w:val="22"/>
        </w:rPr>
        <w:t xml:space="preserve">, however, </w:t>
      </w:r>
      <w:r>
        <w:rPr>
          <w:rFonts w:cstheme="minorHAnsi"/>
          <w:sz w:val="22"/>
          <w:szCs w:val="22"/>
        </w:rPr>
        <w:t>it</w:t>
      </w:r>
      <w:r w:rsidR="00E64A4D">
        <w:rPr>
          <w:rFonts w:cstheme="minorHAnsi"/>
          <w:sz w:val="22"/>
          <w:szCs w:val="22"/>
        </w:rPr>
        <w:t xml:space="preserve"> is beginning to seem like judicial diversity might be</w:t>
      </w:r>
      <w:r w:rsidR="0023179F">
        <w:rPr>
          <w:rFonts w:cstheme="minorHAnsi"/>
          <w:sz w:val="22"/>
          <w:szCs w:val="22"/>
        </w:rPr>
        <w:t xml:space="preserve"> beginning to</w:t>
      </w:r>
      <w:r w:rsidR="00E64A4D">
        <w:rPr>
          <w:rFonts w:cstheme="minorHAnsi"/>
          <w:sz w:val="22"/>
          <w:szCs w:val="22"/>
        </w:rPr>
        <w:t xml:space="preserve"> creep </w:t>
      </w:r>
      <w:r w:rsidR="004B1855">
        <w:rPr>
          <w:rFonts w:cstheme="minorHAnsi"/>
          <w:sz w:val="22"/>
          <w:szCs w:val="22"/>
        </w:rPr>
        <w:t xml:space="preserve">back </w:t>
      </w:r>
      <w:r>
        <w:rPr>
          <w:rFonts w:cstheme="minorHAnsi"/>
          <w:sz w:val="22"/>
          <w:szCs w:val="22"/>
        </w:rPr>
        <w:t>onto</w:t>
      </w:r>
      <w:r w:rsidR="00E64A4D">
        <w:rPr>
          <w:rFonts w:cstheme="minorHAnsi"/>
          <w:sz w:val="22"/>
          <w:szCs w:val="22"/>
        </w:rPr>
        <w:t xml:space="preserve"> the </w:t>
      </w:r>
      <w:r w:rsidR="002705DA">
        <w:rPr>
          <w:rFonts w:cstheme="minorHAnsi"/>
          <w:sz w:val="22"/>
          <w:szCs w:val="22"/>
        </w:rPr>
        <w:t xml:space="preserve">wider </w:t>
      </w:r>
      <w:r w:rsidR="00E64A4D">
        <w:rPr>
          <w:rFonts w:cstheme="minorHAnsi"/>
          <w:sz w:val="22"/>
          <w:szCs w:val="22"/>
        </w:rPr>
        <w:t>political agenda.</w:t>
      </w:r>
      <w:r w:rsidR="00E64A4D">
        <w:rPr>
          <w:rStyle w:val="FootnoteReference"/>
          <w:rFonts w:cstheme="minorHAnsi"/>
          <w:sz w:val="22"/>
          <w:szCs w:val="22"/>
        </w:rPr>
        <w:footnoteReference w:id="27"/>
      </w:r>
      <w:r w:rsidR="00E64A4D">
        <w:rPr>
          <w:rFonts w:cstheme="minorHAnsi"/>
          <w:sz w:val="22"/>
          <w:szCs w:val="22"/>
        </w:rPr>
        <w:t xml:space="preserve"> Growing </w:t>
      </w:r>
      <w:r w:rsidR="00F32CA0" w:rsidRPr="00F8400F">
        <w:rPr>
          <w:rFonts w:cstheme="minorHAnsi"/>
          <w:sz w:val="22"/>
          <w:szCs w:val="22"/>
        </w:rPr>
        <w:t>and sustained evidence of discrimination</w:t>
      </w:r>
      <w:r w:rsidR="00B35815" w:rsidRPr="00F8400F">
        <w:rPr>
          <w:rFonts w:cstheme="minorHAnsi"/>
          <w:sz w:val="22"/>
          <w:szCs w:val="22"/>
        </w:rPr>
        <w:t xml:space="preserve"> </w:t>
      </w:r>
      <w:r w:rsidR="00AB3702" w:rsidRPr="00F8400F">
        <w:rPr>
          <w:rFonts w:cstheme="minorHAnsi"/>
          <w:sz w:val="22"/>
          <w:szCs w:val="22"/>
        </w:rPr>
        <w:t>within</w:t>
      </w:r>
      <w:r w:rsidR="00F32CA0" w:rsidRPr="00F8400F">
        <w:rPr>
          <w:rFonts w:cstheme="minorHAnsi"/>
          <w:sz w:val="22"/>
          <w:szCs w:val="22"/>
        </w:rPr>
        <w:t xml:space="preserve"> the judicial appointments process</w:t>
      </w:r>
      <w:r w:rsidR="00502666">
        <w:rPr>
          <w:rFonts w:cstheme="minorHAnsi"/>
          <w:sz w:val="22"/>
          <w:szCs w:val="22"/>
        </w:rPr>
        <w:t xml:space="preserve"> and criminal justice system more broadly</w:t>
      </w:r>
      <w:r w:rsidR="00B35815" w:rsidRPr="00F8400F">
        <w:rPr>
          <w:rFonts w:cstheme="minorHAnsi"/>
          <w:sz w:val="22"/>
          <w:szCs w:val="22"/>
        </w:rPr>
        <w:t xml:space="preserve"> has given rise to a renewed sense of urgency.</w:t>
      </w:r>
      <w:r w:rsidR="00502666">
        <w:rPr>
          <w:rStyle w:val="FootnoteReference"/>
          <w:rFonts w:cstheme="minorHAnsi"/>
          <w:sz w:val="22"/>
          <w:szCs w:val="22"/>
        </w:rPr>
        <w:footnoteReference w:id="28"/>
      </w:r>
      <w:r w:rsidR="004D47E6" w:rsidRPr="00F8400F">
        <w:rPr>
          <w:rFonts w:cstheme="minorHAnsi"/>
          <w:sz w:val="22"/>
          <w:szCs w:val="22"/>
        </w:rPr>
        <w:t xml:space="preserve"> </w:t>
      </w:r>
      <w:r w:rsidR="008900CE">
        <w:rPr>
          <w:rFonts w:cstheme="minorHAnsi"/>
          <w:sz w:val="22"/>
          <w:szCs w:val="22"/>
        </w:rPr>
        <w:t>W</w:t>
      </w:r>
      <w:r w:rsidR="004D47E6" w:rsidRPr="00F8400F">
        <w:rPr>
          <w:rFonts w:cstheme="minorHAnsi"/>
          <w:sz w:val="22"/>
          <w:szCs w:val="22"/>
        </w:rPr>
        <w:t xml:space="preserve">hile </w:t>
      </w:r>
      <w:r w:rsidR="004D47E6" w:rsidRPr="00F8400F">
        <w:rPr>
          <w:rFonts w:cstheme="minorHAnsi"/>
          <w:sz w:val="22"/>
          <w:szCs w:val="22"/>
        </w:rPr>
        <w:lastRenderedPageBreak/>
        <w:t xml:space="preserve">there continues to be improvement in relation to the appointment of women </w:t>
      </w:r>
      <w:r w:rsidR="008900CE">
        <w:rPr>
          <w:rFonts w:cstheme="minorHAnsi"/>
          <w:sz w:val="22"/>
          <w:szCs w:val="22"/>
        </w:rPr>
        <w:t>judges</w:t>
      </w:r>
      <w:r w:rsidR="00D46F57">
        <w:rPr>
          <w:rFonts w:cstheme="minorHAnsi"/>
          <w:sz w:val="22"/>
          <w:szCs w:val="22"/>
        </w:rPr>
        <w:t xml:space="preserve"> below the Supreme Court,</w:t>
      </w:r>
      <w:r w:rsidR="004D47E6" w:rsidRPr="00F8400F">
        <w:rPr>
          <w:rFonts w:cstheme="minorHAnsi"/>
          <w:sz w:val="22"/>
          <w:szCs w:val="22"/>
        </w:rPr>
        <w:t xml:space="preserve"> progress in relation to candidates </w:t>
      </w:r>
      <w:r w:rsidR="003E23F3">
        <w:rPr>
          <w:rFonts w:cstheme="minorHAnsi"/>
          <w:sz w:val="22"/>
          <w:szCs w:val="22"/>
        </w:rPr>
        <w:t xml:space="preserve">from </w:t>
      </w:r>
      <w:r w:rsidR="004D47E6" w:rsidRPr="00F8400F">
        <w:rPr>
          <w:rFonts w:cstheme="minorHAnsi"/>
          <w:sz w:val="22"/>
          <w:szCs w:val="22"/>
        </w:rPr>
        <w:t>minoritised ethnic background</w:t>
      </w:r>
      <w:r w:rsidR="003E23F3">
        <w:rPr>
          <w:rFonts w:cstheme="minorHAnsi"/>
          <w:sz w:val="22"/>
          <w:szCs w:val="22"/>
        </w:rPr>
        <w:t>s</w:t>
      </w:r>
      <w:r w:rsidR="004D47E6" w:rsidRPr="00F8400F">
        <w:rPr>
          <w:rFonts w:cstheme="minorHAnsi"/>
          <w:sz w:val="22"/>
          <w:szCs w:val="22"/>
        </w:rPr>
        <w:t xml:space="preserve"> has stagnated.</w:t>
      </w:r>
      <w:r w:rsidR="00B35815" w:rsidRPr="00F8400F">
        <w:rPr>
          <w:rFonts w:cstheme="minorHAnsi"/>
          <w:sz w:val="22"/>
          <w:szCs w:val="22"/>
        </w:rPr>
        <w:t xml:space="preserve"> </w:t>
      </w:r>
      <w:r w:rsidR="003E23F3">
        <w:rPr>
          <w:rFonts w:cstheme="minorHAnsi"/>
          <w:sz w:val="22"/>
          <w:szCs w:val="22"/>
        </w:rPr>
        <w:t>A</w:t>
      </w:r>
      <w:r w:rsidR="00770DFB">
        <w:rPr>
          <w:rFonts w:cstheme="minorHAnsi"/>
          <w:sz w:val="22"/>
          <w:szCs w:val="22"/>
        </w:rPr>
        <w:t xml:space="preserve">ccording to </w:t>
      </w:r>
      <w:r w:rsidR="00502666">
        <w:rPr>
          <w:rFonts w:cstheme="minorHAnsi"/>
          <w:sz w:val="22"/>
          <w:szCs w:val="22"/>
        </w:rPr>
        <w:t>Ministry of Justice</w:t>
      </w:r>
      <w:r w:rsidR="00770DFB">
        <w:rPr>
          <w:rFonts w:cstheme="minorHAnsi"/>
          <w:sz w:val="22"/>
          <w:szCs w:val="22"/>
        </w:rPr>
        <w:t xml:space="preserve"> statistics, i</w:t>
      </w:r>
      <w:r w:rsidR="002D2AC2">
        <w:rPr>
          <w:rFonts w:cstheme="minorHAnsi"/>
          <w:sz w:val="22"/>
          <w:szCs w:val="22"/>
        </w:rPr>
        <w:t>n 2022 B</w:t>
      </w:r>
      <w:r w:rsidR="008900CE" w:rsidRPr="00F8400F">
        <w:rPr>
          <w:rFonts w:cstheme="minorHAnsi"/>
          <w:sz w:val="22"/>
          <w:szCs w:val="22"/>
        </w:rPr>
        <w:t>lack judges ma</w:t>
      </w:r>
      <w:r w:rsidR="00D549F3">
        <w:rPr>
          <w:rFonts w:cstheme="minorHAnsi"/>
          <w:sz w:val="22"/>
          <w:szCs w:val="22"/>
        </w:rPr>
        <w:t>d</w:t>
      </w:r>
      <w:r w:rsidR="008900CE" w:rsidRPr="00F8400F">
        <w:rPr>
          <w:rFonts w:cstheme="minorHAnsi"/>
          <w:sz w:val="22"/>
          <w:szCs w:val="22"/>
        </w:rPr>
        <w:t>e up just 1</w:t>
      </w:r>
      <w:r w:rsidR="0030064C">
        <w:rPr>
          <w:rFonts w:cstheme="minorHAnsi"/>
          <w:sz w:val="22"/>
          <w:szCs w:val="22"/>
        </w:rPr>
        <w:t xml:space="preserve"> per cent</w:t>
      </w:r>
      <w:r w:rsidR="008900CE" w:rsidRPr="00F8400F">
        <w:rPr>
          <w:rFonts w:cstheme="minorHAnsi"/>
          <w:sz w:val="22"/>
          <w:szCs w:val="22"/>
        </w:rPr>
        <w:t xml:space="preserve"> of the judiciary</w:t>
      </w:r>
      <w:r w:rsidR="00D46F57">
        <w:rPr>
          <w:rFonts w:cstheme="minorHAnsi"/>
          <w:sz w:val="22"/>
          <w:szCs w:val="22"/>
        </w:rPr>
        <w:t xml:space="preserve"> in England and Wales</w:t>
      </w:r>
      <w:r w:rsidR="008900CE" w:rsidRPr="00F8400F">
        <w:rPr>
          <w:rFonts w:cstheme="minorHAnsi"/>
          <w:sz w:val="22"/>
          <w:szCs w:val="22"/>
        </w:rPr>
        <w:t>,</w:t>
      </w:r>
      <w:r w:rsidR="008D5210">
        <w:rPr>
          <w:rStyle w:val="FootnoteReference"/>
          <w:rFonts w:cstheme="minorHAnsi"/>
          <w:sz w:val="22"/>
          <w:szCs w:val="22"/>
        </w:rPr>
        <w:footnoteReference w:id="29"/>
      </w:r>
      <w:r w:rsidR="008D5210">
        <w:rPr>
          <w:rFonts w:cstheme="minorHAnsi"/>
          <w:sz w:val="22"/>
          <w:szCs w:val="22"/>
        </w:rPr>
        <w:t xml:space="preserve"> </w:t>
      </w:r>
      <w:r w:rsidR="008900CE" w:rsidRPr="00F8400F">
        <w:rPr>
          <w:rFonts w:cstheme="minorHAnsi"/>
          <w:sz w:val="22"/>
          <w:szCs w:val="22"/>
        </w:rPr>
        <w:t>a proportion which has remained unchanged since 2014.</w:t>
      </w:r>
      <w:r w:rsidR="008D5210">
        <w:rPr>
          <w:rStyle w:val="FootnoteReference"/>
          <w:rFonts w:cstheme="minorHAnsi"/>
          <w:sz w:val="22"/>
          <w:szCs w:val="22"/>
        </w:rPr>
        <w:footnoteReference w:id="30"/>
      </w:r>
      <w:r w:rsidR="00E12B5C">
        <w:rPr>
          <w:rFonts w:cstheme="minorHAnsi"/>
          <w:sz w:val="22"/>
          <w:szCs w:val="22"/>
        </w:rPr>
        <w:t xml:space="preserve"> </w:t>
      </w:r>
      <w:r w:rsidR="00D71AE7">
        <w:rPr>
          <w:rFonts w:cstheme="minorHAnsi"/>
          <w:sz w:val="22"/>
          <w:szCs w:val="22"/>
        </w:rPr>
        <w:t xml:space="preserve">Law Society </w:t>
      </w:r>
      <w:r w:rsidR="0030064C">
        <w:rPr>
          <w:rFonts w:cstheme="minorHAnsi"/>
          <w:sz w:val="22"/>
          <w:szCs w:val="22"/>
        </w:rPr>
        <w:t>estimates suggest it will take another 126 years for Black judges to achieve representation within the judiciary</w:t>
      </w:r>
      <w:r w:rsidR="00D46F57">
        <w:rPr>
          <w:rFonts w:cstheme="minorHAnsi"/>
          <w:sz w:val="22"/>
          <w:szCs w:val="22"/>
        </w:rPr>
        <w:t xml:space="preserve"> in England and Wales</w:t>
      </w:r>
      <w:r w:rsidR="0030064C">
        <w:rPr>
          <w:rFonts w:cstheme="minorHAnsi"/>
          <w:sz w:val="22"/>
          <w:szCs w:val="22"/>
        </w:rPr>
        <w:t xml:space="preserve"> in</w:t>
      </w:r>
      <w:r w:rsidR="00D46F57">
        <w:rPr>
          <w:rFonts w:cstheme="minorHAnsi"/>
          <w:sz w:val="22"/>
          <w:szCs w:val="22"/>
        </w:rPr>
        <w:t xml:space="preserve"> proportion</w:t>
      </w:r>
      <w:r w:rsidR="0030064C">
        <w:rPr>
          <w:rFonts w:cstheme="minorHAnsi"/>
          <w:sz w:val="22"/>
          <w:szCs w:val="22"/>
        </w:rPr>
        <w:t xml:space="preserve"> to </w:t>
      </w:r>
      <w:r w:rsidR="00D46F57">
        <w:rPr>
          <w:rFonts w:cstheme="minorHAnsi"/>
          <w:sz w:val="22"/>
          <w:szCs w:val="22"/>
        </w:rPr>
        <w:t>the make-up of</w:t>
      </w:r>
      <w:r w:rsidR="0030064C">
        <w:rPr>
          <w:rFonts w:cstheme="minorHAnsi"/>
          <w:sz w:val="22"/>
          <w:szCs w:val="22"/>
        </w:rPr>
        <w:t xml:space="preserve"> the general population.</w:t>
      </w:r>
      <w:r w:rsidR="0030064C">
        <w:rPr>
          <w:rStyle w:val="FootnoteReference"/>
          <w:rFonts w:cstheme="minorHAnsi"/>
          <w:sz w:val="22"/>
          <w:szCs w:val="22"/>
        </w:rPr>
        <w:footnoteReference w:id="31"/>
      </w:r>
      <w:r w:rsidR="0030064C">
        <w:rPr>
          <w:rFonts w:cstheme="minorHAnsi"/>
          <w:sz w:val="22"/>
          <w:szCs w:val="22"/>
        </w:rPr>
        <w:t xml:space="preserve">  </w:t>
      </w:r>
    </w:p>
    <w:p w14:paraId="2DCB9CF3" w14:textId="77777777" w:rsidR="00D55953" w:rsidRDefault="00D55953" w:rsidP="00FB1671">
      <w:pPr>
        <w:spacing w:line="360" w:lineRule="auto"/>
        <w:rPr>
          <w:rFonts w:cstheme="minorHAnsi"/>
          <w:sz w:val="22"/>
          <w:szCs w:val="22"/>
        </w:rPr>
      </w:pPr>
    </w:p>
    <w:p w14:paraId="63F4C334" w14:textId="06022327" w:rsidR="00D71AE7" w:rsidRDefault="00E367AB" w:rsidP="00FB1671">
      <w:pPr>
        <w:spacing w:line="360" w:lineRule="auto"/>
        <w:rPr>
          <w:rFonts w:cstheme="minorHAnsi"/>
          <w:sz w:val="22"/>
          <w:szCs w:val="22"/>
        </w:rPr>
      </w:pPr>
      <w:r w:rsidRPr="00F8400F">
        <w:rPr>
          <w:rFonts w:cstheme="minorHAnsi"/>
          <w:sz w:val="22"/>
          <w:szCs w:val="22"/>
        </w:rPr>
        <w:t>For many</w:t>
      </w:r>
      <w:r w:rsidR="008F6964">
        <w:rPr>
          <w:rFonts w:cstheme="minorHAnsi"/>
          <w:sz w:val="22"/>
          <w:szCs w:val="22"/>
        </w:rPr>
        <w:t>,</w:t>
      </w:r>
      <w:r w:rsidRPr="00F8400F">
        <w:rPr>
          <w:rFonts w:cstheme="minorHAnsi"/>
          <w:sz w:val="22"/>
          <w:szCs w:val="22"/>
        </w:rPr>
        <w:t xml:space="preserve"> the fault lies with the appointments process overseen and run by</w:t>
      </w:r>
      <w:r w:rsidR="00F770DA" w:rsidRPr="00F8400F">
        <w:rPr>
          <w:rFonts w:cstheme="minorHAnsi"/>
          <w:sz w:val="22"/>
          <w:szCs w:val="22"/>
        </w:rPr>
        <w:t xml:space="preserve"> the</w:t>
      </w:r>
      <w:r w:rsidRPr="00F8400F">
        <w:rPr>
          <w:rFonts w:cstheme="minorHAnsi"/>
          <w:sz w:val="22"/>
          <w:szCs w:val="22"/>
        </w:rPr>
        <w:t xml:space="preserve"> Judicial Appointments Commission</w:t>
      </w:r>
      <w:r w:rsidR="002842F8">
        <w:rPr>
          <w:rFonts w:cstheme="minorHAnsi"/>
          <w:sz w:val="22"/>
          <w:szCs w:val="22"/>
        </w:rPr>
        <w:t xml:space="preserve"> (JAC)</w:t>
      </w:r>
      <w:r w:rsidRPr="00F8400F">
        <w:rPr>
          <w:rFonts w:cstheme="minorHAnsi"/>
          <w:sz w:val="22"/>
          <w:szCs w:val="22"/>
        </w:rPr>
        <w:t xml:space="preserve">, </w:t>
      </w:r>
      <w:r w:rsidR="00F770DA" w:rsidRPr="00F8400F">
        <w:rPr>
          <w:rFonts w:cstheme="minorHAnsi"/>
          <w:sz w:val="22"/>
          <w:szCs w:val="22"/>
        </w:rPr>
        <w:t xml:space="preserve">a product of </w:t>
      </w:r>
      <w:r w:rsidRPr="00F8400F">
        <w:rPr>
          <w:rFonts w:cstheme="minorHAnsi"/>
          <w:sz w:val="22"/>
          <w:szCs w:val="22"/>
        </w:rPr>
        <w:t>New Labour</w:t>
      </w:r>
      <w:r w:rsidR="0048338F">
        <w:rPr>
          <w:rFonts w:cstheme="minorHAnsi"/>
          <w:sz w:val="22"/>
          <w:szCs w:val="22"/>
        </w:rPr>
        <w:t>’s</w:t>
      </w:r>
      <w:r w:rsidR="00F770DA" w:rsidRPr="00F8400F">
        <w:rPr>
          <w:rFonts w:cstheme="minorHAnsi"/>
          <w:sz w:val="22"/>
          <w:szCs w:val="22"/>
        </w:rPr>
        <w:t xml:space="preserve"> constitutional reforms</w:t>
      </w:r>
      <w:r w:rsidR="00A02E85" w:rsidRPr="00F8400F">
        <w:rPr>
          <w:rFonts w:cstheme="minorHAnsi"/>
          <w:sz w:val="22"/>
          <w:szCs w:val="22"/>
        </w:rPr>
        <w:t>.</w:t>
      </w:r>
      <w:r w:rsidR="008D5210">
        <w:rPr>
          <w:rStyle w:val="FootnoteReference"/>
          <w:rFonts w:cstheme="minorHAnsi"/>
          <w:sz w:val="22"/>
          <w:szCs w:val="22"/>
        </w:rPr>
        <w:footnoteReference w:id="32"/>
      </w:r>
      <w:r w:rsidRPr="00F8400F">
        <w:rPr>
          <w:rFonts w:cstheme="minorHAnsi"/>
          <w:sz w:val="22"/>
          <w:szCs w:val="22"/>
        </w:rPr>
        <w:t xml:space="preserve"> </w:t>
      </w:r>
      <w:r w:rsidR="00F770DA" w:rsidRPr="00F8400F">
        <w:rPr>
          <w:rFonts w:cstheme="minorHAnsi"/>
          <w:sz w:val="22"/>
          <w:szCs w:val="22"/>
        </w:rPr>
        <w:t>The JAC</w:t>
      </w:r>
      <w:r w:rsidRPr="00F8400F">
        <w:rPr>
          <w:rFonts w:cstheme="minorHAnsi"/>
          <w:sz w:val="22"/>
          <w:szCs w:val="22"/>
        </w:rPr>
        <w:t xml:space="preserve"> has spent much of its existence under siege – unable or</w:t>
      </w:r>
      <w:r w:rsidR="00A02E85" w:rsidRPr="00F8400F">
        <w:rPr>
          <w:rFonts w:cstheme="minorHAnsi"/>
          <w:sz w:val="22"/>
          <w:szCs w:val="22"/>
        </w:rPr>
        <w:t>,</w:t>
      </w:r>
      <w:r w:rsidRPr="00F8400F">
        <w:rPr>
          <w:rFonts w:cstheme="minorHAnsi"/>
          <w:sz w:val="22"/>
          <w:szCs w:val="22"/>
        </w:rPr>
        <w:t xml:space="preserve"> perhaps</w:t>
      </w:r>
      <w:r w:rsidR="0023172E">
        <w:rPr>
          <w:rFonts w:cstheme="minorHAnsi"/>
          <w:sz w:val="22"/>
          <w:szCs w:val="22"/>
        </w:rPr>
        <w:t xml:space="preserve"> at times</w:t>
      </w:r>
      <w:r w:rsidR="00A02E85" w:rsidRPr="00F8400F">
        <w:rPr>
          <w:rFonts w:cstheme="minorHAnsi"/>
          <w:sz w:val="22"/>
          <w:szCs w:val="22"/>
        </w:rPr>
        <w:t>,</w:t>
      </w:r>
      <w:r w:rsidRPr="00F8400F">
        <w:rPr>
          <w:rFonts w:cstheme="minorHAnsi"/>
          <w:sz w:val="22"/>
          <w:szCs w:val="22"/>
        </w:rPr>
        <w:t xml:space="preserve"> unwilling to make use of its limited levers to secure effective change.</w:t>
      </w:r>
      <w:r w:rsidR="00F925FC">
        <w:rPr>
          <w:rStyle w:val="FootnoteReference"/>
          <w:rFonts w:cstheme="minorHAnsi"/>
          <w:sz w:val="22"/>
          <w:szCs w:val="22"/>
        </w:rPr>
        <w:footnoteReference w:id="33"/>
      </w:r>
      <w:r w:rsidR="003E5838" w:rsidRPr="00F8400F">
        <w:rPr>
          <w:rFonts w:cstheme="minorHAnsi"/>
          <w:sz w:val="22"/>
          <w:szCs w:val="22"/>
        </w:rPr>
        <w:t xml:space="preserve"> </w:t>
      </w:r>
      <w:r w:rsidR="00C92972" w:rsidRPr="00F8400F">
        <w:rPr>
          <w:rFonts w:cstheme="minorHAnsi"/>
          <w:sz w:val="22"/>
          <w:szCs w:val="22"/>
        </w:rPr>
        <w:t>In recent years, there</w:t>
      </w:r>
      <w:r w:rsidR="003E5838" w:rsidRPr="00F8400F">
        <w:rPr>
          <w:rFonts w:cstheme="minorHAnsi"/>
          <w:sz w:val="22"/>
          <w:szCs w:val="22"/>
        </w:rPr>
        <w:t xml:space="preserve"> have been repeated calls for</w:t>
      </w:r>
      <w:r w:rsidR="00C92972" w:rsidRPr="00F8400F">
        <w:rPr>
          <w:rFonts w:cstheme="minorHAnsi"/>
          <w:sz w:val="22"/>
          <w:szCs w:val="22"/>
        </w:rPr>
        <w:t xml:space="preserve"> varying levels of</w:t>
      </w:r>
      <w:r w:rsidR="003E5838" w:rsidRPr="00F8400F">
        <w:rPr>
          <w:rFonts w:cstheme="minorHAnsi"/>
          <w:sz w:val="22"/>
          <w:szCs w:val="22"/>
        </w:rPr>
        <w:t xml:space="preserve"> reform </w:t>
      </w:r>
      <w:r w:rsidR="00C92972" w:rsidRPr="00F8400F">
        <w:rPr>
          <w:rFonts w:cstheme="minorHAnsi"/>
          <w:sz w:val="22"/>
          <w:szCs w:val="22"/>
        </w:rPr>
        <w:t>from JUSTICE</w:t>
      </w:r>
      <w:r w:rsidR="00EE5C67">
        <w:rPr>
          <w:rFonts w:cstheme="minorHAnsi"/>
          <w:sz w:val="22"/>
          <w:szCs w:val="22"/>
        </w:rPr>
        <w:t xml:space="preserve"> and Policy Exchange as well as from </w:t>
      </w:r>
      <w:r w:rsidR="00C92972" w:rsidRPr="00F8400F">
        <w:rPr>
          <w:rFonts w:cstheme="minorHAnsi"/>
          <w:sz w:val="22"/>
          <w:szCs w:val="22"/>
        </w:rPr>
        <w:t xml:space="preserve"> </w:t>
      </w:r>
      <w:r w:rsidR="00680521" w:rsidRPr="00F8400F">
        <w:rPr>
          <w:rFonts w:cstheme="minorHAnsi"/>
          <w:sz w:val="22"/>
          <w:szCs w:val="22"/>
        </w:rPr>
        <w:t>the leaders of the Bar Council and Law Society</w:t>
      </w:r>
      <w:r w:rsidR="00EE5C67">
        <w:rPr>
          <w:rFonts w:cstheme="minorHAnsi"/>
          <w:sz w:val="22"/>
          <w:szCs w:val="22"/>
        </w:rPr>
        <w:t>.</w:t>
      </w:r>
      <w:r w:rsidR="00CF3162">
        <w:rPr>
          <w:rStyle w:val="FootnoteReference"/>
          <w:rFonts w:cstheme="minorHAnsi"/>
          <w:sz w:val="22"/>
          <w:szCs w:val="22"/>
        </w:rPr>
        <w:footnoteReference w:id="34"/>
      </w:r>
      <w:r w:rsidR="00C92972" w:rsidRPr="00F8400F">
        <w:rPr>
          <w:rFonts w:cstheme="minorHAnsi"/>
          <w:sz w:val="22"/>
          <w:szCs w:val="22"/>
        </w:rPr>
        <w:t xml:space="preserve"> Political pressure is growing too.</w:t>
      </w:r>
      <w:r w:rsidR="0023179F">
        <w:rPr>
          <w:rStyle w:val="FootnoteReference"/>
          <w:rFonts w:cstheme="minorHAnsi"/>
          <w:sz w:val="22"/>
          <w:szCs w:val="22"/>
        </w:rPr>
        <w:footnoteReference w:id="35"/>
      </w:r>
      <w:r w:rsidR="004E73BD">
        <w:rPr>
          <w:rFonts w:cstheme="minorHAnsi"/>
          <w:sz w:val="22"/>
          <w:szCs w:val="22"/>
        </w:rPr>
        <w:t xml:space="preserve"> In 2021</w:t>
      </w:r>
      <w:r w:rsidR="00C92972" w:rsidRPr="00F8400F">
        <w:rPr>
          <w:rFonts w:cstheme="minorHAnsi"/>
          <w:sz w:val="22"/>
          <w:szCs w:val="22"/>
        </w:rPr>
        <w:t xml:space="preserve"> </w:t>
      </w:r>
      <w:r w:rsidR="00F925FC" w:rsidRPr="00F925FC">
        <w:rPr>
          <w:rFonts w:cstheme="minorHAnsi"/>
          <w:sz w:val="22"/>
          <w:szCs w:val="22"/>
        </w:rPr>
        <w:t>David Lammy MP, then shadow Lord Chancellor and Secretary of State for Justice,</w:t>
      </w:r>
      <w:r w:rsidR="00D71AE7">
        <w:rPr>
          <w:rFonts w:cstheme="minorHAnsi"/>
          <w:sz w:val="22"/>
          <w:szCs w:val="22"/>
        </w:rPr>
        <w:t xml:space="preserve"> suggested</w:t>
      </w:r>
      <w:r w:rsidR="005F75B4">
        <w:rPr>
          <w:rFonts w:cstheme="minorHAnsi"/>
          <w:sz w:val="22"/>
          <w:szCs w:val="22"/>
        </w:rPr>
        <w:t xml:space="preserve"> </w:t>
      </w:r>
    </w:p>
    <w:p w14:paraId="7997FD7A" w14:textId="275736F8" w:rsidR="00D71AE7" w:rsidRDefault="00D71AE7" w:rsidP="00D71AE7">
      <w:pPr>
        <w:spacing w:line="360" w:lineRule="auto"/>
        <w:ind w:left="720"/>
        <w:rPr>
          <w:rFonts w:cstheme="minorHAnsi"/>
          <w:sz w:val="22"/>
          <w:szCs w:val="22"/>
        </w:rPr>
      </w:pPr>
      <w:r>
        <w:rPr>
          <w:rFonts w:cstheme="minorHAnsi"/>
          <w:sz w:val="22"/>
          <w:szCs w:val="22"/>
        </w:rPr>
        <w:t xml:space="preserve">[while the JAC] </w:t>
      </w:r>
      <w:r w:rsidR="0023179F" w:rsidRPr="0023179F">
        <w:rPr>
          <w:rFonts w:cstheme="minorHAnsi"/>
          <w:sz w:val="22"/>
          <w:szCs w:val="22"/>
        </w:rPr>
        <w:t>talks a good game when it comes to improving diversity</w:t>
      </w:r>
      <w:r w:rsidR="00D549F3">
        <w:rPr>
          <w:rFonts w:cstheme="minorHAnsi"/>
          <w:sz w:val="22"/>
          <w:szCs w:val="22"/>
        </w:rPr>
        <w:t>,</w:t>
      </w:r>
      <w:r w:rsidR="0023179F" w:rsidRPr="0023179F">
        <w:rPr>
          <w:rFonts w:cstheme="minorHAnsi"/>
          <w:sz w:val="22"/>
          <w:szCs w:val="22"/>
        </w:rPr>
        <w:t xml:space="preserve"> </w:t>
      </w:r>
      <w:r>
        <w:rPr>
          <w:rFonts w:cstheme="minorHAnsi"/>
          <w:sz w:val="22"/>
          <w:szCs w:val="22"/>
        </w:rPr>
        <w:t>[</w:t>
      </w:r>
      <w:r w:rsidR="0023179F" w:rsidRPr="0023179F">
        <w:rPr>
          <w:rFonts w:cstheme="minorHAnsi"/>
          <w:sz w:val="22"/>
          <w:szCs w:val="22"/>
        </w:rPr>
        <w:t>their words</w:t>
      </w:r>
      <w:r>
        <w:rPr>
          <w:rFonts w:cstheme="minorHAnsi"/>
          <w:sz w:val="22"/>
          <w:szCs w:val="22"/>
        </w:rPr>
        <w:t xml:space="preserve">] </w:t>
      </w:r>
      <w:r w:rsidR="0023179F" w:rsidRPr="0023179F">
        <w:rPr>
          <w:rFonts w:cstheme="minorHAnsi"/>
          <w:sz w:val="22"/>
          <w:szCs w:val="22"/>
        </w:rPr>
        <w:t>have proved to be hollow</w:t>
      </w:r>
      <w:r w:rsidR="0023179F">
        <w:rPr>
          <w:rFonts w:cstheme="minorHAnsi"/>
          <w:sz w:val="22"/>
          <w:szCs w:val="22"/>
        </w:rPr>
        <w:t xml:space="preserve"> … </w:t>
      </w:r>
      <w:r w:rsidR="005F75B4" w:rsidRPr="005F75B4">
        <w:rPr>
          <w:rFonts w:cstheme="minorHAnsi"/>
          <w:sz w:val="22"/>
          <w:szCs w:val="22"/>
        </w:rPr>
        <w:t>we are seeing less diversity than we would have seen under the old system. If we had it, things would be better than they are now</w:t>
      </w:r>
      <w:r w:rsidR="00841263">
        <w:rPr>
          <w:rFonts w:cstheme="minorHAnsi"/>
          <w:sz w:val="22"/>
          <w:szCs w:val="22"/>
        </w:rPr>
        <w:t>.</w:t>
      </w:r>
      <w:r w:rsidR="00841263">
        <w:rPr>
          <w:rStyle w:val="FootnoteReference"/>
          <w:rFonts w:cstheme="minorHAnsi"/>
          <w:sz w:val="22"/>
          <w:szCs w:val="22"/>
        </w:rPr>
        <w:footnoteReference w:id="36"/>
      </w:r>
    </w:p>
    <w:p w14:paraId="448B87F6" w14:textId="6E2383D9" w:rsidR="00FB1671" w:rsidRDefault="004E73BD" w:rsidP="00FB1671">
      <w:pPr>
        <w:spacing w:line="360" w:lineRule="auto"/>
        <w:rPr>
          <w:rFonts w:cstheme="minorHAnsi"/>
          <w:sz w:val="22"/>
          <w:szCs w:val="22"/>
        </w:rPr>
      </w:pPr>
      <w:r>
        <w:rPr>
          <w:rFonts w:cstheme="minorHAnsi"/>
          <w:sz w:val="22"/>
          <w:szCs w:val="22"/>
        </w:rPr>
        <w:t xml:space="preserve">In 2022, </w:t>
      </w:r>
      <w:r w:rsidR="00211A38">
        <w:rPr>
          <w:rFonts w:cstheme="minorHAnsi"/>
          <w:sz w:val="22"/>
          <w:szCs w:val="22"/>
        </w:rPr>
        <w:t>Maria Eagle MP during the pre-appointment hearing with Helen Pitcher, now Chair of the JAC, described progress toward diversity as</w:t>
      </w:r>
      <w:r w:rsidR="003E23F3">
        <w:rPr>
          <w:rFonts w:cstheme="minorHAnsi"/>
          <w:sz w:val="22"/>
          <w:szCs w:val="22"/>
        </w:rPr>
        <w:t xml:space="preserve"> </w:t>
      </w:r>
      <w:r w:rsidR="0030064C">
        <w:rPr>
          <w:rFonts w:cstheme="minorHAnsi"/>
          <w:sz w:val="22"/>
          <w:szCs w:val="22"/>
        </w:rPr>
        <w:t>‘</w:t>
      </w:r>
      <w:r w:rsidR="00211A38">
        <w:rPr>
          <w:rFonts w:cstheme="minorHAnsi"/>
          <w:sz w:val="22"/>
          <w:szCs w:val="22"/>
        </w:rPr>
        <w:t>glacial’.</w:t>
      </w:r>
      <w:r w:rsidR="00211A38">
        <w:rPr>
          <w:rStyle w:val="FootnoteReference"/>
          <w:rFonts w:cstheme="minorHAnsi"/>
          <w:sz w:val="22"/>
          <w:szCs w:val="22"/>
        </w:rPr>
        <w:footnoteReference w:id="37"/>
      </w:r>
    </w:p>
    <w:p w14:paraId="0EE99A8C" w14:textId="32DA9313" w:rsidR="006560B9" w:rsidRDefault="006560B9" w:rsidP="00FB1671">
      <w:pPr>
        <w:spacing w:line="360" w:lineRule="auto"/>
        <w:rPr>
          <w:rFonts w:cstheme="minorHAnsi"/>
          <w:sz w:val="22"/>
          <w:szCs w:val="22"/>
        </w:rPr>
      </w:pPr>
    </w:p>
    <w:p w14:paraId="6671370F" w14:textId="419773E3" w:rsidR="00A02E85" w:rsidRPr="00F8400F" w:rsidRDefault="004B4885" w:rsidP="00F770DA">
      <w:pPr>
        <w:spacing w:line="360" w:lineRule="auto"/>
        <w:rPr>
          <w:rFonts w:cstheme="minorHAnsi"/>
          <w:sz w:val="22"/>
          <w:szCs w:val="22"/>
        </w:rPr>
      </w:pPr>
      <w:r w:rsidRPr="00F8400F">
        <w:rPr>
          <w:rFonts w:cstheme="minorHAnsi"/>
          <w:sz w:val="22"/>
          <w:szCs w:val="22"/>
        </w:rPr>
        <w:lastRenderedPageBreak/>
        <w:t>Of course, w</w:t>
      </w:r>
      <w:r w:rsidR="00F770DA" w:rsidRPr="00F8400F">
        <w:rPr>
          <w:rFonts w:cstheme="minorHAnsi"/>
          <w:sz w:val="22"/>
          <w:szCs w:val="22"/>
        </w:rPr>
        <w:t>e</w:t>
      </w:r>
      <w:r w:rsidR="00F36A79" w:rsidRPr="00F8400F">
        <w:rPr>
          <w:rFonts w:cstheme="minorHAnsi"/>
          <w:sz w:val="22"/>
          <w:szCs w:val="22"/>
        </w:rPr>
        <w:t>’ve</w:t>
      </w:r>
      <w:r w:rsidR="00F770DA" w:rsidRPr="00F8400F">
        <w:rPr>
          <w:rFonts w:cstheme="minorHAnsi"/>
          <w:sz w:val="22"/>
          <w:szCs w:val="22"/>
        </w:rPr>
        <w:t xml:space="preserve"> been here before</w:t>
      </w:r>
      <w:r w:rsidRPr="00F8400F">
        <w:rPr>
          <w:rFonts w:cstheme="minorHAnsi"/>
          <w:sz w:val="22"/>
          <w:szCs w:val="22"/>
        </w:rPr>
        <w:t xml:space="preserve">. </w:t>
      </w:r>
      <w:r w:rsidR="00255E6C" w:rsidRPr="00F8400F">
        <w:rPr>
          <w:rFonts w:cstheme="minorHAnsi"/>
          <w:sz w:val="22"/>
          <w:szCs w:val="22"/>
        </w:rPr>
        <w:t xml:space="preserve">We </w:t>
      </w:r>
      <w:r w:rsidRPr="00F8400F">
        <w:rPr>
          <w:rFonts w:cstheme="minorHAnsi"/>
          <w:sz w:val="22"/>
          <w:szCs w:val="22"/>
        </w:rPr>
        <w:t xml:space="preserve">can </w:t>
      </w:r>
      <w:r w:rsidR="00255E6C" w:rsidRPr="00F8400F">
        <w:rPr>
          <w:rFonts w:cstheme="minorHAnsi"/>
          <w:sz w:val="22"/>
          <w:szCs w:val="22"/>
        </w:rPr>
        <w:t xml:space="preserve">hear the </w:t>
      </w:r>
      <w:r w:rsidR="00A02E85" w:rsidRPr="00F8400F">
        <w:rPr>
          <w:rFonts w:cstheme="minorHAnsi"/>
          <w:sz w:val="22"/>
          <w:szCs w:val="22"/>
        </w:rPr>
        <w:t xml:space="preserve">echoes of </w:t>
      </w:r>
      <w:r w:rsidR="00EE0476" w:rsidRPr="00F8400F">
        <w:rPr>
          <w:rFonts w:cstheme="minorHAnsi"/>
          <w:sz w:val="22"/>
          <w:szCs w:val="22"/>
        </w:rPr>
        <w:t>the Law Society’s 1999 boycott of</w:t>
      </w:r>
      <w:r w:rsidR="00E27024">
        <w:rPr>
          <w:rFonts w:cstheme="minorHAnsi"/>
          <w:sz w:val="22"/>
          <w:szCs w:val="22"/>
        </w:rPr>
        <w:t xml:space="preserve"> </w:t>
      </w:r>
      <w:r w:rsidR="00EE0476" w:rsidRPr="00F8400F">
        <w:rPr>
          <w:rFonts w:cstheme="minorHAnsi"/>
          <w:sz w:val="22"/>
          <w:szCs w:val="22"/>
        </w:rPr>
        <w:t>‘secret soundings’</w:t>
      </w:r>
      <w:r w:rsidR="00E27024">
        <w:rPr>
          <w:rFonts w:cstheme="minorHAnsi"/>
          <w:sz w:val="22"/>
          <w:szCs w:val="22"/>
        </w:rPr>
        <w:t xml:space="preserve"> </w:t>
      </w:r>
      <w:r w:rsidR="00EE0476" w:rsidRPr="00F8400F">
        <w:rPr>
          <w:rFonts w:cstheme="minorHAnsi"/>
          <w:sz w:val="22"/>
          <w:szCs w:val="22"/>
        </w:rPr>
        <w:t>in</w:t>
      </w:r>
      <w:r w:rsidR="00255E6C" w:rsidRPr="00F8400F">
        <w:rPr>
          <w:rFonts w:cstheme="minorHAnsi"/>
          <w:sz w:val="22"/>
          <w:szCs w:val="22"/>
        </w:rPr>
        <w:t xml:space="preserve"> </w:t>
      </w:r>
      <w:r w:rsidR="00A02E85" w:rsidRPr="00F8400F">
        <w:rPr>
          <w:rFonts w:cstheme="minorHAnsi"/>
          <w:sz w:val="22"/>
          <w:szCs w:val="22"/>
        </w:rPr>
        <w:t>I Stephanie Boyce’s</w:t>
      </w:r>
      <w:r w:rsidR="00F36A79" w:rsidRPr="00F8400F">
        <w:rPr>
          <w:rFonts w:cstheme="minorHAnsi"/>
          <w:sz w:val="22"/>
          <w:szCs w:val="22"/>
        </w:rPr>
        <w:t xml:space="preserve"> call</w:t>
      </w:r>
      <w:r w:rsidR="00423833">
        <w:rPr>
          <w:rFonts w:cstheme="minorHAnsi"/>
          <w:sz w:val="22"/>
          <w:szCs w:val="22"/>
        </w:rPr>
        <w:t xml:space="preserve"> </w:t>
      </w:r>
      <w:r w:rsidR="005F75B4">
        <w:rPr>
          <w:rFonts w:cstheme="minorHAnsi"/>
          <w:sz w:val="22"/>
          <w:szCs w:val="22"/>
        </w:rPr>
        <w:t>in 2022</w:t>
      </w:r>
      <w:r w:rsidR="00F36A79" w:rsidRPr="00F8400F">
        <w:rPr>
          <w:rFonts w:cstheme="minorHAnsi"/>
          <w:sz w:val="22"/>
          <w:szCs w:val="22"/>
        </w:rPr>
        <w:t xml:space="preserve"> for the abolition of statutory consultation</w:t>
      </w:r>
      <w:r w:rsidR="00E27024">
        <w:rPr>
          <w:rFonts w:cstheme="minorHAnsi"/>
          <w:sz w:val="22"/>
          <w:szCs w:val="22"/>
        </w:rPr>
        <w:t>.</w:t>
      </w:r>
      <w:r w:rsidR="005F75B4">
        <w:rPr>
          <w:rStyle w:val="FootnoteReference"/>
          <w:rFonts w:cstheme="minorHAnsi"/>
          <w:sz w:val="22"/>
          <w:szCs w:val="22"/>
        </w:rPr>
        <w:footnoteReference w:id="38"/>
      </w:r>
      <w:r w:rsidR="00E27024">
        <w:rPr>
          <w:rFonts w:cstheme="minorHAnsi"/>
          <w:sz w:val="22"/>
          <w:szCs w:val="22"/>
        </w:rPr>
        <w:t xml:space="preserve"> We can recognise elements of the </w:t>
      </w:r>
      <w:r w:rsidR="00386CB1" w:rsidRPr="00F8400F">
        <w:rPr>
          <w:rFonts w:cstheme="minorHAnsi"/>
          <w:sz w:val="22"/>
          <w:szCs w:val="22"/>
        </w:rPr>
        <w:t>Hansard Society’s</w:t>
      </w:r>
      <w:r w:rsidR="00423833">
        <w:rPr>
          <w:rFonts w:cstheme="minorHAnsi"/>
          <w:sz w:val="22"/>
          <w:szCs w:val="22"/>
        </w:rPr>
        <w:t xml:space="preserve"> 1990</w:t>
      </w:r>
      <w:r w:rsidR="00386CB1" w:rsidRPr="00F8400F">
        <w:rPr>
          <w:rFonts w:cstheme="minorHAnsi"/>
          <w:sz w:val="22"/>
          <w:szCs w:val="22"/>
        </w:rPr>
        <w:t xml:space="preserve"> </w:t>
      </w:r>
      <w:r w:rsidR="00386CB1" w:rsidRPr="00F8400F">
        <w:rPr>
          <w:rFonts w:cstheme="minorHAnsi"/>
          <w:i/>
          <w:iCs/>
          <w:sz w:val="22"/>
          <w:szCs w:val="22"/>
        </w:rPr>
        <w:t>Women at the Top</w:t>
      </w:r>
      <w:r w:rsidR="00386CB1" w:rsidRPr="00F8400F">
        <w:rPr>
          <w:rFonts w:cstheme="minorHAnsi"/>
          <w:sz w:val="22"/>
          <w:szCs w:val="22"/>
        </w:rPr>
        <w:t xml:space="preserve"> report in Baroness Chakrabarti’s calls for ‘time-limited affirmative action’</w:t>
      </w:r>
      <w:r w:rsidR="00255E6C" w:rsidRPr="00F8400F">
        <w:rPr>
          <w:rFonts w:cstheme="minorHAnsi"/>
          <w:sz w:val="22"/>
          <w:szCs w:val="22"/>
        </w:rPr>
        <w:t xml:space="preserve"> in 2021</w:t>
      </w:r>
      <w:r w:rsidR="00386CB1" w:rsidRPr="00F8400F">
        <w:rPr>
          <w:rFonts w:cstheme="minorHAnsi"/>
          <w:sz w:val="22"/>
          <w:szCs w:val="22"/>
        </w:rPr>
        <w:t>.</w:t>
      </w:r>
      <w:r w:rsidR="00397606">
        <w:rPr>
          <w:rStyle w:val="FootnoteReference"/>
          <w:rFonts w:cstheme="minorHAnsi"/>
          <w:sz w:val="22"/>
          <w:szCs w:val="22"/>
        </w:rPr>
        <w:footnoteReference w:id="39"/>
      </w:r>
      <w:r w:rsidR="00386CB1" w:rsidRPr="00F8400F">
        <w:rPr>
          <w:rFonts w:cstheme="minorHAnsi"/>
          <w:sz w:val="22"/>
          <w:szCs w:val="22"/>
        </w:rPr>
        <w:t xml:space="preserve"> </w:t>
      </w:r>
      <w:r w:rsidR="00255E6C" w:rsidRPr="00F8400F">
        <w:rPr>
          <w:rFonts w:cstheme="minorHAnsi"/>
          <w:sz w:val="22"/>
          <w:szCs w:val="22"/>
        </w:rPr>
        <w:t xml:space="preserve">We can see Helena Kennedy’s criticism of the </w:t>
      </w:r>
      <w:r w:rsidR="00A71BC0" w:rsidRPr="00F8400F">
        <w:rPr>
          <w:rFonts w:cstheme="minorHAnsi"/>
          <w:sz w:val="22"/>
          <w:szCs w:val="22"/>
        </w:rPr>
        <w:t>‘</w:t>
      </w:r>
      <w:r w:rsidR="00255E6C" w:rsidRPr="00F8400F">
        <w:rPr>
          <w:rFonts w:cstheme="minorHAnsi"/>
          <w:sz w:val="22"/>
          <w:szCs w:val="22"/>
        </w:rPr>
        <w:t xml:space="preserve">potential for cloning’ in </w:t>
      </w:r>
      <w:r w:rsidR="00E27024">
        <w:rPr>
          <w:rFonts w:cstheme="minorHAnsi"/>
          <w:sz w:val="22"/>
          <w:szCs w:val="22"/>
        </w:rPr>
        <w:t xml:space="preserve">the </w:t>
      </w:r>
      <w:r w:rsidR="00255E6C" w:rsidRPr="00F8400F">
        <w:rPr>
          <w:rFonts w:cstheme="minorHAnsi"/>
          <w:sz w:val="22"/>
          <w:szCs w:val="22"/>
        </w:rPr>
        <w:t>pre-2006 appointment</w:t>
      </w:r>
      <w:r w:rsidR="00423833">
        <w:rPr>
          <w:rFonts w:cstheme="minorHAnsi"/>
          <w:sz w:val="22"/>
          <w:szCs w:val="22"/>
        </w:rPr>
        <w:t>s</w:t>
      </w:r>
      <w:r w:rsidR="00255E6C" w:rsidRPr="00F8400F">
        <w:rPr>
          <w:rFonts w:cstheme="minorHAnsi"/>
          <w:sz w:val="22"/>
          <w:szCs w:val="22"/>
        </w:rPr>
        <w:t xml:space="preserve"> system </w:t>
      </w:r>
      <w:r w:rsidRPr="00F8400F">
        <w:rPr>
          <w:rFonts w:cstheme="minorHAnsi"/>
          <w:sz w:val="22"/>
          <w:szCs w:val="22"/>
        </w:rPr>
        <w:t>mirrored in the</w:t>
      </w:r>
      <w:r w:rsidR="00255E6C" w:rsidRPr="00F8400F">
        <w:rPr>
          <w:rFonts w:cstheme="minorHAnsi"/>
          <w:sz w:val="22"/>
          <w:szCs w:val="22"/>
        </w:rPr>
        <w:t xml:space="preserve"> </w:t>
      </w:r>
      <w:r w:rsidR="00EE0476" w:rsidRPr="00F8400F">
        <w:rPr>
          <w:rFonts w:cstheme="minorHAnsi"/>
          <w:sz w:val="22"/>
          <w:szCs w:val="22"/>
        </w:rPr>
        <w:t xml:space="preserve">unattributed </w:t>
      </w:r>
      <w:r w:rsidR="00423833">
        <w:rPr>
          <w:rFonts w:cstheme="minorHAnsi"/>
          <w:sz w:val="22"/>
          <w:szCs w:val="22"/>
        </w:rPr>
        <w:t>description</w:t>
      </w:r>
      <w:r w:rsidR="00EE0476" w:rsidRPr="00F8400F">
        <w:rPr>
          <w:rFonts w:cstheme="minorHAnsi"/>
          <w:sz w:val="22"/>
          <w:szCs w:val="22"/>
        </w:rPr>
        <w:t xml:space="preserve"> </w:t>
      </w:r>
      <w:r w:rsidR="0023172E">
        <w:rPr>
          <w:rFonts w:cstheme="minorHAnsi"/>
          <w:sz w:val="22"/>
          <w:szCs w:val="22"/>
        </w:rPr>
        <w:t>(r</w:t>
      </w:r>
      <w:r w:rsidR="0023172E" w:rsidRPr="00F8400F">
        <w:rPr>
          <w:rFonts w:cstheme="minorHAnsi"/>
          <w:sz w:val="22"/>
          <w:szCs w:val="22"/>
        </w:rPr>
        <w:t xml:space="preserve">eported in </w:t>
      </w:r>
      <w:r w:rsidR="0023172E" w:rsidRPr="00F8400F">
        <w:rPr>
          <w:rFonts w:cstheme="minorHAnsi"/>
          <w:i/>
          <w:iCs/>
          <w:sz w:val="22"/>
          <w:szCs w:val="22"/>
        </w:rPr>
        <w:t>The Times</w:t>
      </w:r>
      <w:r w:rsidR="0023172E" w:rsidRPr="00F8400F">
        <w:rPr>
          <w:rFonts w:cstheme="minorHAnsi"/>
          <w:sz w:val="22"/>
          <w:szCs w:val="22"/>
        </w:rPr>
        <w:t xml:space="preserve"> </w:t>
      </w:r>
      <w:r w:rsidR="0030064C">
        <w:rPr>
          <w:rFonts w:cstheme="minorHAnsi"/>
          <w:sz w:val="22"/>
          <w:szCs w:val="22"/>
        </w:rPr>
        <w:t>in 2022</w:t>
      </w:r>
      <w:r w:rsidR="00D549F3">
        <w:rPr>
          <w:rFonts w:cstheme="minorHAnsi"/>
          <w:sz w:val="22"/>
          <w:szCs w:val="22"/>
        </w:rPr>
        <w:t>)</w:t>
      </w:r>
      <w:r w:rsidR="0023172E">
        <w:rPr>
          <w:rFonts w:cstheme="minorHAnsi"/>
          <w:sz w:val="22"/>
          <w:szCs w:val="22"/>
        </w:rPr>
        <w:t xml:space="preserve"> </w:t>
      </w:r>
      <w:r w:rsidR="00EE0476" w:rsidRPr="00F8400F">
        <w:rPr>
          <w:rFonts w:cstheme="minorHAnsi"/>
          <w:sz w:val="22"/>
          <w:szCs w:val="22"/>
        </w:rPr>
        <w:t>of the JAC</w:t>
      </w:r>
      <w:r w:rsidR="00386CB1" w:rsidRPr="00F8400F">
        <w:rPr>
          <w:rFonts w:cstheme="minorHAnsi"/>
          <w:sz w:val="22"/>
          <w:szCs w:val="22"/>
        </w:rPr>
        <w:t xml:space="preserve"> </w:t>
      </w:r>
      <w:r w:rsidR="00EE0476" w:rsidRPr="00F8400F">
        <w:rPr>
          <w:rFonts w:cstheme="minorHAnsi"/>
          <w:sz w:val="22"/>
          <w:szCs w:val="22"/>
        </w:rPr>
        <w:t>as a ‘judicial “sausage factory” … churn[</w:t>
      </w:r>
      <w:proofErr w:type="spellStart"/>
      <w:r w:rsidR="00EE0476" w:rsidRPr="00F8400F">
        <w:rPr>
          <w:rFonts w:cstheme="minorHAnsi"/>
          <w:sz w:val="22"/>
          <w:szCs w:val="22"/>
        </w:rPr>
        <w:t>ing</w:t>
      </w:r>
      <w:proofErr w:type="spellEnd"/>
      <w:r w:rsidR="00EE0476" w:rsidRPr="00F8400F">
        <w:rPr>
          <w:rFonts w:cstheme="minorHAnsi"/>
          <w:sz w:val="22"/>
          <w:szCs w:val="22"/>
        </w:rPr>
        <w:t>] out identical judges generation after generation, who help to ensure that others in their own image are appointed’</w:t>
      </w:r>
      <w:r w:rsidR="0023172E">
        <w:rPr>
          <w:rFonts w:cstheme="minorHAnsi"/>
          <w:sz w:val="22"/>
          <w:szCs w:val="22"/>
        </w:rPr>
        <w:t>.</w:t>
      </w:r>
      <w:r w:rsidR="00397606">
        <w:rPr>
          <w:rStyle w:val="FootnoteReference"/>
          <w:rFonts w:cstheme="minorHAnsi"/>
          <w:sz w:val="22"/>
          <w:szCs w:val="22"/>
        </w:rPr>
        <w:footnoteReference w:id="40"/>
      </w:r>
      <w:r w:rsidR="002842F8">
        <w:rPr>
          <w:rFonts w:cstheme="minorHAnsi"/>
          <w:sz w:val="22"/>
          <w:szCs w:val="22"/>
        </w:rPr>
        <w:t xml:space="preserve"> </w:t>
      </w:r>
      <w:r w:rsidR="00B96B96" w:rsidRPr="00F8400F">
        <w:rPr>
          <w:rFonts w:cstheme="minorHAnsi"/>
          <w:sz w:val="22"/>
          <w:szCs w:val="22"/>
        </w:rPr>
        <w:t>At other times, the familiarity chastens: compare, for example,</w:t>
      </w:r>
      <w:r w:rsidR="00775B56" w:rsidRPr="00F8400F">
        <w:rPr>
          <w:rFonts w:cstheme="minorHAnsi"/>
          <w:sz w:val="22"/>
          <w:szCs w:val="22"/>
        </w:rPr>
        <w:t xml:space="preserve"> Labour MP,</w:t>
      </w:r>
      <w:r w:rsidR="00255E6C" w:rsidRPr="00F8400F">
        <w:rPr>
          <w:rFonts w:cstheme="minorHAnsi"/>
          <w:sz w:val="22"/>
          <w:szCs w:val="22"/>
        </w:rPr>
        <w:t xml:space="preserve"> </w:t>
      </w:r>
      <w:r w:rsidRPr="00F8400F">
        <w:rPr>
          <w:rFonts w:cstheme="minorHAnsi"/>
          <w:sz w:val="22"/>
          <w:szCs w:val="22"/>
        </w:rPr>
        <w:t xml:space="preserve">Brian </w:t>
      </w:r>
      <w:proofErr w:type="spellStart"/>
      <w:r w:rsidRPr="00F8400F">
        <w:rPr>
          <w:rFonts w:cstheme="minorHAnsi"/>
          <w:sz w:val="22"/>
          <w:szCs w:val="22"/>
        </w:rPr>
        <w:t>Se</w:t>
      </w:r>
      <w:r w:rsidR="00D549F3">
        <w:rPr>
          <w:rFonts w:cstheme="minorHAnsi"/>
          <w:sz w:val="22"/>
          <w:szCs w:val="22"/>
        </w:rPr>
        <w:t>d</w:t>
      </w:r>
      <w:r w:rsidRPr="00F8400F">
        <w:rPr>
          <w:rFonts w:cstheme="minorHAnsi"/>
          <w:sz w:val="22"/>
          <w:szCs w:val="22"/>
        </w:rPr>
        <w:t>gemore</w:t>
      </w:r>
      <w:r w:rsidR="00775B56" w:rsidRPr="00F8400F">
        <w:rPr>
          <w:rFonts w:cstheme="minorHAnsi"/>
          <w:sz w:val="22"/>
          <w:szCs w:val="22"/>
        </w:rPr>
        <w:t>’s</w:t>
      </w:r>
      <w:proofErr w:type="spellEnd"/>
      <w:r w:rsidR="00775B56" w:rsidRPr="00F8400F">
        <w:rPr>
          <w:rFonts w:cstheme="minorHAnsi"/>
          <w:sz w:val="22"/>
          <w:szCs w:val="22"/>
        </w:rPr>
        <w:t xml:space="preserve"> criticism back in 1989 of</w:t>
      </w:r>
      <w:r w:rsidR="00613AC7">
        <w:rPr>
          <w:rFonts w:cstheme="minorHAnsi"/>
          <w:sz w:val="22"/>
          <w:szCs w:val="22"/>
        </w:rPr>
        <w:t xml:space="preserve"> </w:t>
      </w:r>
      <w:r w:rsidR="00F36A79" w:rsidRPr="00F8400F">
        <w:rPr>
          <w:rFonts w:cstheme="minorHAnsi"/>
          <w:sz w:val="22"/>
          <w:szCs w:val="22"/>
        </w:rPr>
        <w:t>‘institutional</w:t>
      </w:r>
      <w:r w:rsidR="00775B56" w:rsidRPr="00F8400F">
        <w:rPr>
          <w:rFonts w:cstheme="minorHAnsi"/>
          <w:sz w:val="22"/>
          <w:szCs w:val="22"/>
        </w:rPr>
        <w:t xml:space="preserve"> </w:t>
      </w:r>
      <w:r w:rsidR="00F36A79" w:rsidRPr="00F8400F">
        <w:rPr>
          <w:rFonts w:cstheme="minorHAnsi"/>
          <w:sz w:val="22"/>
          <w:szCs w:val="22"/>
        </w:rPr>
        <w:t>racis</w:t>
      </w:r>
      <w:r w:rsidR="00775B56" w:rsidRPr="00F8400F">
        <w:rPr>
          <w:rFonts w:cstheme="minorHAnsi"/>
          <w:sz w:val="22"/>
          <w:szCs w:val="22"/>
        </w:rPr>
        <w:t>m’ within the judiciary</w:t>
      </w:r>
      <w:r w:rsidR="00D71AE7">
        <w:rPr>
          <w:rStyle w:val="FootnoteReference"/>
          <w:rFonts w:cstheme="minorHAnsi"/>
          <w:sz w:val="22"/>
          <w:szCs w:val="22"/>
        </w:rPr>
        <w:footnoteReference w:id="41"/>
      </w:r>
      <w:r w:rsidR="00255E6C" w:rsidRPr="00F8400F">
        <w:rPr>
          <w:rFonts w:cstheme="minorHAnsi"/>
          <w:sz w:val="22"/>
          <w:szCs w:val="22"/>
        </w:rPr>
        <w:t xml:space="preserve"> </w:t>
      </w:r>
      <w:r w:rsidR="00B96B96" w:rsidRPr="00F8400F">
        <w:rPr>
          <w:rFonts w:cstheme="minorHAnsi"/>
          <w:sz w:val="22"/>
          <w:szCs w:val="22"/>
        </w:rPr>
        <w:t>with the</w:t>
      </w:r>
      <w:r w:rsidR="00386CB1" w:rsidRPr="00F8400F">
        <w:rPr>
          <w:rFonts w:cstheme="minorHAnsi"/>
          <w:sz w:val="22"/>
          <w:szCs w:val="22"/>
        </w:rPr>
        <w:t xml:space="preserve"> findings of </w:t>
      </w:r>
      <w:r w:rsidR="00A02E85" w:rsidRPr="00F8400F">
        <w:rPr>
          <w:rFonts w:cstheme="minorHAnsi"/>
          <w:sz w:val="22"/>
          <w:szCs w:val="22"/>
        </w:rPr>
        <w:t>the hugely important Mon</w:t>
      </w:r>
      <w:r w:rsidR="000F40F9">
        <w:rPr>
          <w:rFonts w:cstheme="minorHAnsi"/>
          <w:sz w:val="22"/>
          <w:szCs w:val="22"/>
        </w:rPr>
        <w:t>t</w:t>
      </w:r>
      <w:r w:rsidR="00A02E85" w:rsidRPr="00F8400F">
        <w:rPr>
          <w:rFonts w:cstheme="minorHAnsi"/>
          <w:sz w:val="22"/>
          <w:szCs w:val="22"/>
        </w:rPr>
        <w:t>eith</w:t>
      </w:r>
      <w:r w:rsidR="000F40F9">
        <w:rPr>
          <w:rFonts w:cstheme="minorHAnsi"/>
          <w:sz w:val="22"/>
          <w:szCs w:val="22"/>
        </w:rPr>
        <w:t xml:space="preserve"> </w:t>
      </w:r>
      <w:r w:rsidR="00A02E85" w:rsidRPr="00F8400F">
        <w:rPr>
          <w:rFonts w:cstheme="minorHAnsi"/>
          <w:sz w:val="22"/>
          <w:szCs w:val="22"/>
        </w:rPr>
        <w:t>Report</w:t>
      </w:r>
      <w:r w:rsidR="009D2FD0" w:rsidRPr="00F8400F">
        <w:rPr>
          <w:rFonts w:cstheme="minorHAnsi"/>
          <w:sz w:val="22"/>
          <w:szCs w:val="22"/>
        </w:rPr>
        <w:t xml:space="preserve"> on </w:t>
      </w:r>
      <w:r w:rsidR="009D2FD0" w:rsidRPr="00F8400F">
        <w:rPr>
          <w:rFonts w:cstheme="minorHAnsi"/>
          <w:i/>
          <w:iCs/>
          <w:sz w:val="22"/>
          <w:szCs w:val="22"/>
        </w:rPr>
        <w:t>Racial Bias and the Bench</w:t>
      </w:r>
      <w:r w:rsidR="00A02E85" w:rsidRPr="00F8400F">
        <w:rPr>
          <w:rFonts w:cstheme="minorHAnsi"/>
          <w:sz w:val="22"/>
          <w:szCs w:val="22"/>
        </w:rPr>
        <w:t xml:space="preserve">, published in October </w:t>
      </w:r>
      <w:r w:rsidR="002842F8">
        <w:rPr>
          <w:rFonts w:cstheme="minorHAnsi"/>
          <w:sz w:val="22"/>
          <w:szCs w:val="22"/>
        </w:rPr>
        <w:t>2022</w:t>
      </w:r>
      <w:r w:rsidR="00A02E85" w:rsidRPr="00F8400F">
        <w:rPr>
          <w:rFonts w:cstheme="minorHAnsi"/>
          <w:sz w:val="22"/>
          <w:szCs w:val="22"/>
        </w:rPr>
        <w:t>.</w:t>
      </w:r>
      <w:r w:rsidR="00397606">
        <w:rPr>
          <w:rStyle w:val="FootnoteReference"/>
          <w:rFonts w:cstheme="minorHAnsi"/>
          <w:sz w:val="22"/>
          <w:szCs w:val="22"/>
        </w:rPr>
        <w:footnoteReference w:id="42"/>
      </w:r>
      <w:r w:rsidR="00775B56" w:rsidRPr="00F8400F">
        <w:rPr>
          <w:rFonts w:cstheme="minorHAnsi"/>
          <w:sz w:val="22"/>
          <w:szCs w:val="22"/>
        </w:rPr>
        <w:t xml:space="preserve"> 3</w:t>
      </w:r>
      <w:r w:rsidR="002705DA">
        <w:rPr>
          <w:rFonts w:cstheme="minorHAnsi"/>
          <w:sz w:val="22"/>
          <w:szCs w:val="22"/>
        </w:rPr>
        <w:t xml:space="preserve">4 </w:t>
      </w:r>
      <w:r w:rsidR="00775B56" w:rsidRPr="00F8400F">
        <w:rPr>
          <w:rFonts w:cstheme="minorHAnsi"/>
          <w:sz w:val="22"/>
          <w:szCs w:val="22"/>
        </w:rPr>
        <w:t>years</w:t>
      </w:r>
      <w:r w:rsidR="002705DA">
        <w:rPr>
          <w:rFonts w:cstheme="minorHAnsi"/>
          <w:sz w:val="22"/>
          <w:szCs w:val="22"/>
        </w:rPr>
        <w:t xml:space="preserve"> after </w:t>
      </w:r>
      <w:proofErr w:type="spellStart"/>
      <w:r w:rsidR="002705DA">
        <w:rPr>
          <w:rFonts w:cstheme="minorHAnsi"/>
          <w:sz w:val="22"/>
          <w:szCs w:val="22"/>
        </w:rPr>
        <w:t>Sedgemore’s</w:t>
      </w:r>
      <w:proofErr w:type="spellEnd"/>
      <w:r w:rsidR="002705DA">
        <w:rPr>
          <w:rFonts w:cstheme="minorHAnsi"/>
          <w:sz w:val="22"/>
          <w:szCs w:val="22"/>
        </w:rPr>
        <w:t xml:space="preserve"> comment,</w:t>
      </w:r>
      <w:r w:rsidR="00775B56" w:rsidRPr="00F8400F">
        <w:rPr>
          <w:rFonts w:cstheme="minorHAnsi"/>
          <w:sz w:val="22"/>
          <w:szCs w:val="22"/>
        </w:rPr>
        <w:t xml:space="preserve"> Black representation in the </w:t>
      </w:r>
      <w:r w:rsidR="002705DA">
        <w:rPr>
          <w:rFonts w:cstheme="minorHAnsi"/>
          <w:sz w:val="22"/>
          <w:szCs w:val="22"/>
        </w:rPr>
        <w:t>High Court and above in England and Wales</w:t>
      </w:r>
      <w:r w:rsidR="00775B56" w:rsidRPr="00F8400F">
        <w:rPr>
          <w:rFonts w:cstheme="minorHAnsi"/>
          <w:sz w:val="22"/>
          <w:szCs w:val="22"/>
        </w:rPr>
        <w:t xml:space="preserve"> remains </w:t>
      </w:r>
      <w:r w:rsidR="00254461" w:rsidRPr="00F8400F">
        <w:rPr>
          <w:rFonts w:cstheme="minorHAnsi"/>
          <w:sz w:val="22"/>
          <w:szCs w:val="22"/>
        </w:rPr>
        <w:t>the same</w:t>
      </w:r>
      <w:r w:rsidR="00775B56" w:rsidRPr="00F8400F">
        <w:rPr>
          <w:rFonts w:cstheme="minorHAnsi"/>
          <w:sz w:val="22"/>
          <w:szCs w:val="22"/>
        </w:rPr>
        <w:t>: zero.</w:t>
      </w:r>
      <w:r w:rsidR="00970B5D">
        <w:rPr>
          <w:rStyle w:val="FootnoteReference"/>
          <w:rFonts w:cstheme="minorHAnsi"/>
          <w:sz w:val="22"/>
          <w:szCs w:val="22"/>
        </w:rPr>
        <w:footnoteReference w:id="43"/>
      </w:r>
    </w:p>
    <w:p w14:paraId="20DA3E4F" w14:textId="6F951D96" w:rsidR="00B96B96" w:rsidRPr="00F8400F" w:rsidRDefault="00B96B96" w:rsidP="00F770DA">
      <w:pPr>
        <w:spacing w:line="360" w:lineRule="auto"/>
        <w:rPr>
          <w:rFonts w:cstheme="minorHAnsi"/>
          <w:sz w:val="22"/>
          <w:szCs w:val="22"/>
        </w:rPr>
      </w:pPr>
    </w:p>
    <w:p w14:paraId="7516C7C9" w14:textId="61B182DB" w:rsidR="00E27024" w:rsidRDefault="00A71BC0" w:rsidP="00F8400F">
      <w:pPr>
        <w:spacing w:line="360" w:lineRule="auto"/>
        <w:rPr>
          <w:rFonts w:cstheme="minorHAnsi"/>
          <w:sz w:val="22"/>
          <w:szCs w:val="22"/>
        </w:rPr>
      </w:pPr>
      <w:r w:rsidRPr="00F8400F">
        <w:rPr>
          <w:rFonts w:cstheme="minorHAnsi"/>
          <w:sz w:val="22"/>
          <w:szCs w:val="22"/>
        </w:rPr>
        <w:t>However, i</w:t>
      </w:r>
      <w:r w:rsidR="0005006C" w:rsidRPr="00F8400F">
        <w:rPr>
          <w:rFonts w:cstheme="minorHAnsi"/>
          <w:sz w:val="22"/>
          <w:szCs w:val="22"/>
        </w:rPr>
        <w:t xml:space="preserve">n so doing we risk presenting ourselves as </w:t>
      </w:r>
      <w:r w:rsidR="000E5CF6" w:rsidRPr="00F8400F">
        <w:rPr>
          <w:rFonts w:cstheme="minorHAnsi"/>
          <w:sz w:val="22"/>
          <w:szCs w:val="22"/>
        </w:rPr>
        <w:t>s</w:t>
      </w:r>
      <w:r w:rsidR="004B4885" w:rsidRPr="00F8400F">
        <w:rPr>
          <w:rFonts w:cstheme="minorHAnsi"/>
          <w:sz w:val="22"/>
          <w:szCs w:val="22"/>
        </w:rPr>
        <w:t xml:space="preserve">tuck in </w:t>
      </w:r>
      <w:r w:rsidR="0005006C" w:rsidRPr="00F8400F">
        <w:rPr>
          <w:rFonts w:cstheme="minorHAnsi"/>
          <w:sz w:val="22"/>
          <w:szCs w:val="22"/>
        </w:rPr>
        <w:t>some</w:t>
      </w:r>
      <w:r w:rsidR="004B4885" w:rsidRPr="00F8400F">
        <w:rPr>
          <w:rFonts w:cstheme="minorHAnsi"/>
          <w:sz w:val="22"/>
          <w:szCs w:val="22"/>
        </w:rPr>
        <w:t xml:space="preserve"> Sisyphean </w:t>
      </w:r>
      <w:r w:rsidR="0005006C" w:rsidRPr="00F8400F">
        <w:rPr>
          <w:rFonts w:cstheme="minorHAnsi"/>
          <w:sz w:val="22"/>
          <w:szCs w:val="22"/>
        </w:rPr>
        <w:t>nightmare</w:t>
      </w:r>
      <w:r w:rsidR="00E27024">
        <w:rPr>
          <w:rFonts w:cstheme="minorHAnsi"/>
          <w:sz w:val="22"/>
          <w:szCs w:val="22"/>
        </w:rPr>
        <w:t>,</w:t>
      </w:r>
      <w:r w:rsidR="004B4885" w:rsidRPr="00F8400F">
        <w:rPr>
          <w:rFonts w:cstheme="minorHAnsi"/>
          <w:sz w:val="22"/>
          <w:szCs w:val="22"/>
        </w:rPr>
        <w:t xml:space="preserve"> destined to repeat the same cycle of reports, dismay, reform, and regress.</w:t>
      </w:r>
      <w:r w:rsidR="00B96B96" w:rsidRPr="00F8400F">
        <w:rPr>
          <w:rFonts w:cstheme="minorHAnsi"/>
          <w:sz w:val="22"/>
          <w:szCs w:val="22"/>
        </w:rPr>
        <w:t xml:space="preserve"> </w:t>
      </w:r>
      <w:r w:rsidR="0005006C" w:rsidRPr="00F8400F">
        <w:rPr>
          <w:rFonts w:cstheme="minorHAnsi"/>
          <w:sz w:val="22"/>
          <w:szCs w:val="22"/>
        </w:rPr>
        <w:t>This is unfortunate</w:t>
      </w:r>
      <w:r w:rsidR="00CC457B">
        <w:rPr>
          <w:rFonts w:cstheme="minorHAnsi"/>
          <w:sz w:val="22"/>
          <w:szCs w:val="22"/>
        </w:rPr>
        <w:t>. N</w:t>
      </w:r>
      <w:r w:rsidR="00CC457B" w:rsidRPr="00F8400F">
        <w:rPr>
          <w:rFonts w:cstheme="minorHAnsi"/>
          <w:sz w:val="22"/>
          <w:szCs w:val="22"/>
        </w:rPr>
        <w:t xml:space="preserve">ot least because Sisyphus was the </w:t>
      </w:r>
      <w:r w:rsidR="00397606">
        <w:rPr>
          <w:rFonts w:cstheme="minorHAnsi"/>
          <w:sz w:val="22"/>
          <w:szCs w:val="22"/>
        </w:rPr>
        <w:t xml:space="preserve">one at fault </w:t>
      </w:r>
      <w:r w:rsidR="00CC457B" w:rsidRPr="00F8400F">
        <w:rPr>
          <w:rFonts w:cstheme="minorHAnsi"/>
          <w:sz w:val="22"/>
          <w:szCs w:val="22"/>
        </w:rPr>
        <w:t>– hence the punishment with the boulder.</w:t>
      </w:r>
      <w:r w:rsidR="00CC457B">
        <w:rPr>
          <w:rFonts w:cstheme="minorHAnsi"/>
          <w:sz w:val="22"/>
          <w:szCs w:val="22"/>
        </w:rPr>
        <w:t xml:space="preserve"> </w:t>
      </w:r>
      <w:r w:rsidR="003A1628" w:rsidRPr="00F8400F">
        <w:rPr>
          <w:rFonts w:cstheme="minorHAnsi"/>
          <w:sz w:val="22"/>
          <w:szCs w:val="22"/>
        </w:rPr>
        <w:t xml:space="preserve">It </w:t>
      </w:r>
      <w:r w:rsidR="00CC457B">
        <w:rPr>
          <w:rFonts w:cstheme="minorHAnsi"/>
          <w:sz w:val="22"/>
          <w:szCs w:val="22"/>
        </w:rPr>
        <w:t xml:space="preserve">also </w:t>
      </w:r>
      <w:r w:rsidR="003A1628" w:rsidRPr="00F8400F">
        <w:rPr>
          <w:rFonts w:cstheme="minorHAnsi"/>
          <w:sz w:val="22"/>
          <w:szCs w:val="22"/>
        </w:rPr>
        <w:t>robs us of agency</w:t>
      </w:r>
      <w:r w:rsidR="00CC457B">
        <w:rPr>
          <w:rFonts w:cstheme="minorHAnsi"/>
          <w:sz w:val="22"/>
          <w:szCs w:val="22"/>
        </w:rPr>
        <w:t xml:space="preserve"> and </w:t>
      </w:r>
      <w:r w:rsidR="0005006C" w:rsidRPr="00F8400F">
        <w:rPr>
          <w:rFonts w:cstheme="minorHAnsi"/>
          <w:sz w:val="22"/>
          <w:szCs w:val="22"/>
        </w:rPr>
        <w:t xml:space="preserve">suggests that there is something natural </w:t>
      </w:r>
      <w:r w:rsidR="00635388" w:rsidRPr="00F8400F">
        <w:rPr>
          <w:rFonts w:cstheme="minorHAnsi"/>
          <w:sz w:val="22"/>
          <w:szCs w:val="22"/>
        </w:rPr>
        <w:t xml:space="preserve">and </w:t>
      </w:r>
      <w:r w:rsidR="008F6964">
        <w:rPr>
          <w:rFonts w:cstheme="minorHAnsi"/>
          <w:sz w:val="22"/>
          <w:szCs w:val="22"/>
        </w:rPr>
        <w:t>inevitable</w:t>
      </w:r>
      <w:r w:rsidR="008F6964" w:rsidRPr="00F8400F">
        <w:rPr>
          <w:rFonts w:cstheme="minorHAnsi"/>
          <w:sz w:val="22"/>
          <w:szCs w:val="22"/>
        </w:rPr>
        <w:t xml:space="preserve"> </w:t>
      </w:r>
      <w:r w:rsidR="0005006C" w:rsidRPr="00F8400F">
        <w:rPr>
          <w:rFonts w:cstheme="minorHAnsi"/>
          <w:sz w:val="22"/>
          <w:szCs w:val="22"/>
        </w:rPr>
        <w:t xml:space="preserve">about the ‘mountain’ we </w:t>
      </w:r>
      <w:proofErr w:type="gramStart"/>
      <w:r w:rsidR="0005006C" w:rsidRPr="00F8400F">
        <w:rPr>
          <w:rFonts w:cstheme="minorHAnsi"/>
          <w:sz w:val="22"/>
          <w:szCs w:val="22"/>
        </w:rPr>
        <w:t>have to</w:t>
      </w:r>
      <w:proofErr w:type="gramEnd"/>
      <w:r w:rsidR="0005006C" w:rsidRPr="00F8400F">
        <w:rPr>
          <w:rFonts w:cstheme="minorHAnsi"/>
          <w:sz w:val="22"/>
          <w:szCs w:val="22"/>
        </w:rPr>
        <w:t xml:space="preserve"> climb in order to achieve equity or parity</w:t>
      </w:r>
      <w:r w:rsidRPr="00F8400F">
        <w:rPr>
          <w:rFonts w:cstheme="minorHAnsi"/>
          <w:sz w:val="22"/>
          <w:szCs w:val="22"/>
        </w:rPr>
        <w:t>,</w:t>
      </w:r>
      <w:r w:rsidR="0005006C" w:rsidRPr="00F8400F">
        <w:rPr>
          <w:rFonts w:cstheme="minorHAnsi"/>
          <w:sz w:val="22"/>
          <w:szCs w:val="22"/>
        </w:rPr>
        <w:t xml:space="preserve"> rather than it being the result of decades of privilege</w:t>
      </w:r>
      <w:r w:rsidRPr="00F8400F">
        <w:rPr>
          <w:rFonts w:cstheme="minorHAnsi"/>
          <w:sz w:val="22"/>
          <w:szCs w:val="22"/>
        </w:rPr>
        <w:t xml:space="preserve"> and </w:t>
      </w:r>
      <w:r w:rsidR="0005006C" w:rsidRPr="00F8400F">
        <w:rPr>
          <w:rFonts w:cstheme="minorHAnsi"/>
          <w:sz w:val="22"/>
          <w:szCs w:val="22"/>
        </w:rPr>
        <w:t>discrimination</w:t>
      </w:r>
      <w:r w:rsidRPr="00F8400F">
        <w:rPr>
          <w:rFonts w:cstheme="minorHAnsi"/>
          <w:sz w:val="22"/>
          <w:szCs w:val="22"/>
        </w:rPr>
        <w:t>.</w:t>
      </w:r>
      <w:r w:rsidR="00943DF2">
        <w:rPr>
          <w:rFonts w:cstheme="minorHAnsi"/>
          <w:sz w:val="22"/>
          <w:szCs w:val="22"/>
        </w:rPr>
        <w:t xml:space="preserve"> </w:t>
      </w:r>
      <w:r w:rsidR="00120914">
        <w:rPr>
          <w:rFonts w:cstheme="minorHAnsi"/>
          <w:sz w:val="22"/>
          <w:szCs w:val="22"/>
        </w:rPr>
        <w:t>It’s</w:t>
      </w:r>
      <w:r w:rsidRPr="00F8400F">
        <w:rPr>
          <w:rFonts w:cstheme="minorHAnsi"/>
          <w:sz w:val="22"/>
          <w:szCs w:val="22"/>
        </w:rPr>
        <w:t xml:space="preserve"> time to </w:t>
      </w:r>
      <w:r w:rsidR="00EA6FD3" w:rsidRPr="00F8400F">
        <w:rPr>
          <w:rFonts w:cstheme="minorHAnsi"/>
          <w:sz w:val="22"/>
          <w:szCs w:val="22"/>
        </w:rPr>
        <w:t>re-</w:t>
      </w:r>
      <w:r w:rsidR="00254461" w:rsidRPr="00F8400F">
        <w:rPr>
          <w:rFonts w:cstheme="minorHAnsi"/>
          <w:sz w:val="22"/>
          <w:szCs w:val="22"/>
        </w:rPr>
        <w:t>set</w:t>
      </w:r>
      <w:r w:rsidRPr="00F8400F">
        <w:rPr>
          <w:rFonts w:cstheme="minorHAnsi"/>
          <w:sz w:val="22"/>
          <w:szCs w:val="22"/>
        </w:rPr>
        <w:t xml:space="preserve"> the narrative</w:t>
      </w:r>
      <w:r w:rsidR="00943DF2">
        <w:rPr>
          <w:rFonts w:cstheme="minorHAnsi"/>
          <w:sz w:val="22"/>
          <w:szCs w:val="22"/>
        </w:rPr>
        <w:t>: t</w:t>
      </w:r>
      <w:r w:rsidR="00884104">
        <w:rPr>
          <w:rFonts w:cstheme="minorHAnsi"/>
          <w:sz w:val="22"/>
          <w:szCs w:val="22"/>
        </w:rPr>
        <w:t>o</w:t>
      </w:r>
      <w:r w:rsidR="00D029FF">
        <w:rPr>
          <w:rFonts w:cstheme="minorHAnsi"/>
          <w:sz w:val="22"/>
          <w:szCs w:val="22"/>
        </w:rPr>
        <w:t xml:space="preserve"> return to – and </w:t>
      </w:r>
      <w:r w:rsidR="008F6964">
        <w:rPr>
          <w:rFonts w:cstheme="minorHAnsi"/>
          <w:sz w:val="22"/>
          <w:szCs w:val="22"/>
        </w:rPr>
        <w:t>re</w:t>
      </w:r>
      <w:r w:rsidR="00EC7C85">
        <w:rPr>
          <w:rFonts w:cstheme="minorHAnsi"/>
          <w:sz w:val="22"/>
          <w:szCs w:val="22"/>
        </w:rPr>
        <w:t>-</w:t>
      </w:r>
      <w:r w:rsidR="00D029FF">
        <w:rPr>
          <w:rFonts w:cstheme="minorHAnsi"/>
          <w:sz w:val="22"/>
          <w:szCs w:val="22"/>
        </w:rPr>
        <w:t xml:space="preserve">make – the </w:t>
      </w:r>
      <w:r w:rsidR="00D029FF" w:rsidRPr="00F937C6">
        <w:rPr>
          <w:rFonts w:cstheme="minorHAnsi"/>
          <w:sz w:val="22"/>
          <w:szCs w:val="22"/>
        </w:rPr>
        <w:t>arguments</w:t>
      </w:r>
      <w:r w:rsidR="00D029FF">
        <w:rPr>
          <w:rFonts w:cstheme="minorHAnsi"/>
          <w:sz w:val="22"/>
          <w:szCs w:val="22"/>
        </w:rPr>
        <w:t xml:space="preserve"> for judicial diversity. </w:t>
      </w:r>
    </w:p>
    <w:p w14:paraId="2FD80299" w14:textId="0CE87DD4" w:rsidR="00717F56" w:rsidRDefault="00717F56" w:rsidP="00F8400F">
      <w:pPr>
        <w:spacing w:line="360" w:lineRule="auto"/>
        <w:rPr>
          <w:rFonts w:cstheme="minorHAnsi"/>
          <w:sz w:val="22"/>
          <w:szCs w:val="22"/>
        </w:rPr>
      </w:pPr>
    </w:p>
    <w:p w14:paraId="4E2FE41D" w14:textId="676CE085" w:rsidR="00717F56" w:rsidRPr="00904504" w:rsidRDefault="00904504" w:rsidP="00904504">
      <w:pPr>
        <w:spacing w:line="360" w:lineRule="auto"/>
        <w:jc w:val="center"/>
        <w:rPr>
          <w:rFonts w:cstheme="minorHAnsi"/>
          <w:b/>
          <w:bCs/>
          <w:sz w:val="22"/>
          <w:szCs w:val="22"/>
        </w:rPr>
      </w:pPr>
      <w:r>
        <w:rPr>
          <w:rFonts w:cstheme="minorHAnsi"/>
          <w:b/>
          <w:bCs/>
          <w:sz w:val="22"/>
          <w:szCs w:val="22"/>
        </w:rPr>
        <w:t xml:space="preserve">III. </w:t>
      </w:r>
      <w:r w:rsidR="00AC0B70" w:rsidRPr="00904504">
        <w:rPr>
          <w:rFonts w:cstheme="minorHAnsi"/>
          <w:b/>
          <w:bCs/>
          <w:sz w:val="22"/>
          <w:szCs w:val="22"/>
        </w:rPr>
        <w:t xml:space="preserve">WHY </w:t>
      </w:r>
      <w:r w:rsidR="00943DF2" w:rsidRPr="00904504">
        <w:rPr>
          <w:rFonts w:cstheme="minorHAnsi"/>
          <w:b/>
          <w:bCs/>
          <w:sz w:val="22"/>
          <w:szCs w:val="22"/>
        </w:rPr>
        <w:t>QUALITY WILL DO</w:t>
      </w:r>
    </w:p>
    <w:p w14:paraId="1566C9A7" w14:textId="77777777" w:rsidR="00E27024" w:rsidRDefault="00E27024" w:rsidP="00F8400F">
      <w:pPr>
        <w:spacing w:line="360" w:lineRule="auto"/>
        <w:rPr>
          <w:rFonts w:cstheme="minorHAnsi"/>
          <w:sz w:val="22"/>
          <w:szCs w:val="22"/>
        </w:rPr>
      </w:pPr>
    </w:p>
    <w:p w14:paraId="063DF663" w14:textId="78983681" w:rsidR="000767C9" w:rsidRDefault="00CC457B" w:rsidP="00F8400F">
      <w:pPr>
        <w:spacing w:line="360" w:lineRule="auto"/>
        <w:rPr>
          <w:rFonts w:cstheme="minorHAnsi"/>
          <w:sz w:val="22"/>
          <w:szCs w:val="22"/>
        </w:rPr>
      </w:pPr>
      <w:r>
        <w:rPr>
          <w:rFonts w:cstheme="minorHAnsi"/>
          <w:sz w:val="22"/>
          <w:szCs w:val="22"/>
        </w:rPr>
        <w:t>Arguments for judicial diversity – usually</w:t>
      </w:r>
      <w:r w:rsidR="0059765E">
        <w:rPr>
          <w:rFonts w:cstheme="minorHAnsi"/>
          <w:sz w:val="22"/>
          <w:szCs w:val="22"/>
        </w:rPr>
        <w:t xml:space="preserve"> coalesc</w:t>
      </w:r>
      <w:r>
        <w:rPr>
          <w:rFonts w:cstheme="minorHAnsi"/>
          <w:sz w:val="22"/>
          <w:szCs w:val="22"/>
        </w:rPr>
        <w:t>ing</w:t>
      </w:r>
      <w:r w:rsidR="0059765E">
        <w:rPr>
          <w:rFonts w:cstheme="minorHAnsi"/>
          <w:sz w:val="22"/>
          <w:szCs w:val="22"/>
        </w:rPr>
        <w:t xml:space="preserve"> </w:t>
      </w:r>
      <w:r>
        <w:rPr>
          <w:rFonts w:cstheme="minorHAnsi"/>
          <w:sz w:val="22"/>
          <w:szCs w:val="22"/>
        </w:rPr>
        <w:t>a</w:t>
      </w:r>
      <w:r w:rsidR="00D54265">
        <w:rPr>
          <w:rFonts w:cstheme="minorHAnsi"/>
          <w:sz w:val="22"/>
          <w:szCs w:val="22"/>
        </w:rPr>
        <w:t xml:space="preserve">round </w:t>
      </w:r>
      <w:r w:rsidR="0059765E">
        <w:rPr>
          <w:rFonts w:cstheme="minorHAnsi"/>
          <w:sz w:val="22"/>
          <w:szCs w:val="22"/>
        </w:rPr>
        <w:t xml:space="preserve">the ‘big three’ of legitimacy, </w:t>
      </w:r>
      <w:proofErr w:type="gramStart"/>
      <w:r w:rsidR="0059765E">
        <w:rPr>
          <w:rFonts w:cstheme="minorHAnsi"/>
          <w:sz w:val="22"/>
          <w:szCs w:val="22"/>
        </w:rPr>
        <w:t>equity</w:t>
      </w:r>
      <w:proofErr w:type="gramEnd"/>
      <w:r w:rsidR="0059765E">
        <w:rPr>
          <w:rFonts w:cstheme="minorHAnsi"/>
          <w:sz w:val="22"/>
          <w:szCs w:val="22"/>
        </w:rPr>
        <w:t xml:space="preserve"> and quality – </w:t>
      </w:r>
      <w:r w:rsidR="00F8400F">
        <w:rPr>
          <w:rFonts w:cstheme="minorHAnsi"/>
          <w:sz w:val="22"/>
          <w:szCs w:val="22"/>
        </w:rPr>
        <w:t xml:space="preserve">have been </w:t>
      </w:r>
      <w:r w:rsidR="00635388" w:rsidRPr="00F8400F">
        <w:rPr>
          <w:rFonts w:cstheme="minorHAnsi"/>
          <w:sz w:val="22"/>
          <w:szCs w:val="22"/>
        </w:rPr>
        <w:t>notably</w:t>
      </w:r>
      <w:r w:rsidR="002F0AF7" w:rsidRPr="00F8400F">
        <w:rPr>
          <w:rFonts w:cstheme="minorHAnsi"/>
          <w:sz w:val="22"/>
          <w:szCs w:val="22"/>
        </w:rPr>
        <w:t xml:space="preserve"> and largely</w:t>
      </w:r>
      <w:r w:rsidR="00635388" w:rsidRPr="00F8400F">
        <w:rPr>
          <w:rFonts w:cstheme="minorHAnsi"/>
          <w:sz w:val="22"/>
          <w:szCs w:val="22"/>
        </w:rPr>
        <w:t xml:space="preserve"> absent from recent</w:t>
      </w:r>
      <w:r w:rsidR="00D029FF">
        <w:rPr>
          <w:rFonts w:cstheme="minorHAnsi"/>
          <w:sz w:val="22"/>
          <w:szCs w:val="22"/>
        </w:rPr>
        <w:t xml:space="preserve"> policy</w:t>
      </w:r>
      <w:r w:rsidR="00635388" w:rsidRPr="00F8400F">
        <w:rPr>
          <w:rFonts w:cstheme="minorHAnsi"/>
          <w:sz w:val="22"/>
          <w:szCs w:val="22"/>
        </w:rPr>
        <w:t xml:space="preserve"> </w:t>
      </w:r>
      <w:r w:rsidR="002F0AF7" w:rsidRPr="00F8400F">
        <w:rPr>
          <w:rFonts w:cstheme="minorHAnsi"/>
          <w:sz w:val="22"/>
          <w:szCs w:val="22"/>
        </w:rPr>
        <w:t>discussions</w:t>
      </w:r>
      <w:r w:rsidR="00254461" w:rsidRPr="00F8400F">
        <w:rPr>
          <w:rFonts w:cstheme="minorHAnsi"/>
          <w:sz w:val="22"/>
          <w:szCs w:val="22"/>
        </w:rPr>
        <w:t xml:space="preserve">. </w:t>
      </w:r>
      <w:r w:rsidR="000767C9">
        <w:rPr>
          <w:rFonts w:cstheme="minorHAnsi"/>
          <w:sz w:val="22"/>
          <w:szCs w:val="22"/>
        </w:rPr>
        <w:t>W</w:t>
      </w:r>
      <w:r w:rsidR="002F0AF7" w:rsidRPr="00F8400F">
        <w:rPr>
          <w:rFonts w:cstheme="minorHAnsi"/>
          <w:sz w:val="22"/>
          <w:szCs w:val="22"/>
        </w:rPr>
        <w:t>here they are mentioned</w:t>
      </w:r>
      <w:r w:rsidR="0030064C">
        <w:rPr>
          <w:rFonts w:cstheme="minorHAnsi"/>
          <w:sz w:val="22"/>
          <w:szCs w:val="22"/>
        </w:rPr>
        <w:t xml:space="preserve">, </w:t>
      </w:r>
      <w:r w:rsidR="002F0AF7" w:rsidRPr="00F8400F">
        <w:rPr>
          <w:rFonts w:cstheme="minorHAnsi"/>
          <w:sz w:val="22"/>
          <w:szCs w:val="22"/>
        </w:rPr>
        <w:t>usually in an opening paragraph of one or two sentences</w:t>
      </w:r>
      <w:r w:rsidR="0030064C">
        <w:rPr>
          <w:rFonts w:cstheme="minorHAnsi"/>
          <w:sz w:val="22"/>
          <w:szCs w:val="22"/>
        </w:rPr>
        <w:t>,</w:t>
      </w:r>
      <w:r w:rsidR="002F0AF7" w:rsidRPr="00F8400F">
        <w:rPr>
          <w:rFonts w:cstheme="minorHAnsi"/>
          <w:sz w:val="22"/>
          <w:szCs w:val="22"/>
        </w:rPr>
        <w:t xml:space="preserve"> the focus </w:t>
      </w:r>
      <w:r w:rsidR="00041440">
        <w:rPr>
          <w:rFonts w:cstheme="minorHAnsi"/>
          <w:sz w:val="22"/>
          <w:szCs w:val="22"/>
        </w:rPr>
        <w:t>has been</w:t>
      </w:r>
      <w:r w:rsidR="00770DFB">
        <w:rPr>
          <w:rFonts w:cstheme="minorHAnsi"/>
          <w:sz w:val="22"/>
          <w:szCs w:val="22"/>
        </w:rPr>
        <w:t xml:space="preserve"> almost</w:t>
      </w:r>
      <w:r w:rsidR="002F0AF7" w:rsidRPr="00F8400F">
        <w:rPr>
          <w:rFonts w:cstheme="minorHAnsi"/>
          <w:sz w:val="22"/>
          <w:szCs w:val="22"/>
        </w:rPr>
        <w:t xml:space="preserve"> exclusively on arguments of equity</w:t>
      </w:r>
      <w:r w:rsidR="0059765E">
        <w:rPr>
          <w:rFonts w:cstheme="minorHAnsi"/>
          <w:sz w:val="22"/>
          <w:szCs w:val="22"/>
        </w:rPr>
        <w:t xml:space="preserve"> of</w:t>
      </w:r>
      <w:r w:rsidR="002F0AF7" w:rsidRPr="00F8400F">
        <w:rPr>
          <w:rFonts w:cstheme="minorHAnsi"/>
          <w:sz w:val="22"/>
          <w:szCs w:val="22"/>
        </w:rPr>
        <w:t xml:space="preserve"> opportunity</w:t>
      </w:r>
      <w:r w:rsidR="0059765E">
        <w:rPr>
          <w:rFonts w:cstheme="minorHAnsi"/>
          <w:sz w:val="22"/>
          <w:szCs w:val="22"/>
        </w:rPr>
        <w:t xml:space="preserve"> and</w:t>
      </w:r>
      <w:r w:rsidR="002F0AF7" w:rsidRPr="00F8400F">
        <w:rPr>
          <w:rFonts w:cstheme="minorHAnsi"/>
          <w:sz w:val="22"/>
          <w:szCs w:val="22"/>
        </w:rPr>
        <w:t xml:space="preserve"> legitimacy and public confidence. </w:t>
      </w:r>
      <w:r w:rsidR="00AC0B70">
        <w:rPr>
          <w:rFonts w:cstheme="minorHAnsi"/>
          <w:sz w:val="22"/>
          <w:szCs w:val="22"/>
        </w:rPr>
        <w:t>I</w:t>
      </w:r>
      <w:r w:rsidR="000767C9">
        <w:rPr>
          <w:rFonts w:cstheme="minorHAnsi"/>
          <w:sz w:val="22"/>
          <w:szCs w:val="22"/>
        </w:rPr>
        <w:t xml:space="preserve">n fact, it’s been this way for some time. </w:t>
      </w:r>
      <w:r w:rsidR="00D029FF">
        <w:rPr>
          <w:rFonts w:cstheme="minorHAnsi"/>
          <w:sz w:val="22"/>
          <w:szCs w:val="22"/>
        </w:rPr>
        <w:t>And understandably so. After all</w:t>
      </w:r>
      <w:r w:rsidR="00D876B8">
        <w:rPr>
          <w:rFonts w:cstheme="minorHAnsi"/>
          <w:sz w:val="22"/>
          <w:szCs w:val="22"/>
        </w:rPr>
        <w:t>, surely t</w:t>
      </w:r>
      <w:r w:rsidR="00D029FF">
        <w:rPr>
          <w:rFonts w:cstheme="minorHAnsi"/>
          <w:sz w:val="22"/>
          <w:szCs w:val="22"/>
        </w:rPr>
        <w:t xml:space="preserve">he argument for diversity has been </w:t>
      </w:r>
      <w:proofErr w:type="gramStart"/>
      <w:r w:rsidR="00D029FF">
        <w:rPr>
          <w:rFonts w:cstheme="minorHAnsi"/>
          <w:sz w:val="22"/>
          <w:szCs w:val="22"/>
        </w:rPr>
        <w:t>won</w:t>
      </w:r>
      <w:r w:rsidR="00D54265">
        <w:rPr>
          <w:rFonts w:cstheme="minorHAnsi"/>
          <w:sz w:val="22"/>
          <w:szCs w:val="22"/>
        </w:rPr>
        <w:t>?</w:t>
      </w:r>
      <w:proofErr w:type="gramEnd"/>
      <w:r w:rsidR="00D029FF">
        <w:rPr>
          <w:rFonts w:cstheme="minorHAnsi"/>
          <w:sz w:val="22"/>
          <w:szCs w:val="22"/>
        </w:rPr>
        <w:t xml:space="preserve"> We’re all agreed that </w:t>
      </w:r>
      <w:r w:rsidR="00D876B8">
        <w:rPr>
          <w:rFonts w:cstheme="minorHAnsi"/>
          <w:sz w:val="22"/>
          <w:szCs w:val="22"/>
        </w:rPr>
        <w:t>a diverse judiciary</w:t>
      </w:r>
      <w:r w:rsidR="00D029FF">
        <w:rPr>
          <w:rFonts w:cstheme="minorHAnsi"/>
          <w:sz w:val="22"/>
          <w:szCs w:val="22"/>
        </w:rPr>
        <w:t xml:space="preserve"> – </w:t>
      </w:r>
      <w:r w:rsidR="00D029FF" w:rsidRPr="00F937C6">
        <w:rPr>
          <w:rFonts w:cstheme="minorHAnsi"/>
          <w:sz w:val="22"/>
          <w:szCs w:val="22"/>
        </w:rPr>
        <w:t>all things being equal</w:t>
      </w:r>
      <w:r w:rsidR="00E12B5C">
        <w:rPr>
          <w:rFonts w:cstheme="minorHAnsi"/>
          <w:i/>
          <w:iCs/>
          <w:sz w:val="22"/>
          <w:szCs w:val="22"/>
        </w:rPr>
        <w:t xml:space="preserve">, </w:t>
      </w:r>
      <w:r w:rsidR="00E12B5C">
        <w:rPr>
          <w:rFonts w:cstheme="minorHAnsi"/>
          <w:sz w:val="22"/>
          <w:szCs w:val="22"/>
        </w:rPr>
        <w:t>of course</w:t>
      </w:r>
      <w:r w:rsidR="00D029FF">
        <w:rPr>
          <w:rFonts w:cstheme="minorHAnsi"/>
          <w:sz w:val="22"/>
          <w:szCs w:val="22"/>
        </w:rPr>
        <w:t xml:space="preserve"> –</w:t>
      </w:r>
      <w:r w:rsidR="00D876B8">
        <w:rPr>
          <w:rFonts w:cstheme="minorHAnsi"/>
          <w:sz w:val="22"/>
          <w:szCs w:val="22"/>
        </w:rPr>
        <w:t xml:space="preserve"> </w:t>
      </w:r>
      <w:r w:rsidR="00D029FF">
        <w:rPr>
          <w:rFonts w:cstheme="minorHAnsi"/>
          <w:sz w:val="22"/>
          <w:szCs w:val="22"/>
        </w:rPr>
        <w:t xml:space="preserve">is </w:t>
      </w:r>
      <w:r w:rsidR="00120914">
        <w:rPr>
          <w:rFonts w:cstheme="minorHAnsi"/>
          <w:sz w:val="22"/>
          <w:szCs w:val="22"/>
        </w:rPr>
        <w:t>‘</w:t>
      </w:r>
      <w:r w:rsidR="00D029FF">
        <w:rPr>
          <w:rFonts w:cstheme="minorHAnsi"/>
          <w:sz w:val="22"/>
          <w:szCs w:val="22"/>
        </w:rPr>
        <w:t>A Good</w:t>
      </w:r>
      <w:r w:rsidR="00120914">
        <w:rPr>
          <w:rFonts w:cstheme="minorHAnsi"/>
          <w:sz w:val="22"/>
          <w:szCs w:val="22"/>
        </w:rPr>
        <w:t xml:space="preserve"> (</w:t>
      </w:r>
      <w:r w:rsidR="00E12B5C">
        <w:rPr>
          <w:rFonts w:cstheme="minorHAnsi"/>
          <w:sz w:val="22"/>
          <w:szCs w:val="22"/>
        </w:rPr>
        <w:t>maybe even</w:t>
      </w:r>
      <w:r w:rsidR="000A42BF">
        <w:rPr>
          <w:rFonts w:cstheme="minorHAnsi"/>
          <w:sz w:val="22"/>
          <w:szCs w:val="22"/>
        </w:rPr>
        <w:t xml:space="preserve"> a</w:t>
      </w:r>
      <w:r w:rsidR="00E12B5C">
        <w:rPr>
          <w:rFonts w:cstheme="minorHAnsi"/>
          <w:sz w:val="22"/>
          <w:szCs w:val="22"/>
        </w:rPr>
        <w:t xml:space="preserve"> Very Good</w:t>
      </w:r>
      <w:r w:rsidR="00120914">
        <w:rPr>
          <w:rFonts w:cstheme="minorHAnsi"/>
          <w:sz w:val="22"/>
          <w:szCs w:val="22"/>
        </w:rPr>
        <w:t>)</w:t>
      </w:r>
      <w:r w:rsidR="00E12B5C">
        <w:rPr>
          <w:rFonts w:cstheme="minorHAnsi"/>
          <w:sz w:val="22"/>
          <w:szCs w:val="22"/>
        </w:rPr>
        <w:t xml:space="preserve"> </w:t>
      </w:r>
      <w:r w:rsidR="00D029FF">
        <w:rPr>
          <w:rFonts w:cstheme="minorHAnsi"/>
          <w:sz w:val="22"/>
          <w:szCs w:val="22"/>
        </w:rPr>
        <w:t>Thing</w:t>
      </w:r>
      <w:r w:rsidR="00120914">
        <w:rPr>
          <w:rFonts w:cstheme="minorHAnsi"/>
          <w:sz w:val="22"/>
          <w:szCs w:val="22"/>
        </w:rPr>
        <w:t>’</w:t>
      </w:r>
      <w:r w:rsidR="00D029FF">
        <w:rPr>
          <w:rFonts w:cstheme="minorHAnsi"/>
          <w:sz w:val="22"/>
          <w:szCs w:val="22"/>
        </w:rPr>
        <w:t>.</w:t>
      </w:r>
      <w:r w:rsidR="00120914">
        <w:rPr>
          <w:rStyle w:val="FootnoteReference"/>
          <w:rFonts w:cstheme="minorHAnsi"/>
          <w:sz w:val="22"/>
          <w:szCs w:val="22"/>
        </w:rPr>
        <w:footnoteReference w:id="44"/>
      </w:r>
      <w:r w:rsidR="00D029FF">
        <w:rPr>
          <w:rFonts w:cstheme="minorHAnsi"/>
          <w:sz w:val="22"/>
          <w:szCs w:val="22"/>
        </w:rPr>
        <w:t xml:space="preserve"> </w:t>
      </w:r>
    </w:p>
    <w:p w14:paraId="39B2EBFB" w14:textId="77777777" w:rsidR="000767C9" w:rsidRDefault="000767C9" w:rsidP="00F8400F">
      <w:pPr>
        <w:spacing w:line="360" w:lineRule="auto"/>
        <w:rPr>
          <w:rFonts w:cstheme="minorHAnsi"/>
          <w:sz w:val="22"/>
          <w:szCs w:val="22"/>
        </w:rPr>
      </w:pPr>
    </w:p>
    <w:p w14:paraId="4CF391D5" w14:textId="03E04F8C" w:rsidR="00120914" w:rsidRDefault="008F6964" w:rsidP="00F8400F">
      <w:pPr>
        <w:spacing w:line="360" w:lineRule="auto"/>
        <w:rPr>
          <w:rFonts w:cstheme="minorHAnsi"/>
          <w:sz w:val="22"/>
          <w:szCs w:val="22"/>
        </w:rPr>
      </w:pPr>
      <w:r>
        <w:rPr>
          <w:rFonts w:cstheme="minorHAnsi"/>
          <w:sz w:val="22"/>
          <w:szCs w:val="22"/>
        </w:rPr>
        <w:t>However, b</w:t>
      </w:r>
      <w:r w:rsidR="00D029FF">
        <w:rPr>
          <w:rFonts w:cstheme="minorHAnsi"/>
          <w:sz w:val="22"/>
          <w:szCs w:val="22"/>
        </w:rPr>
        <w:t>eneath the veneer of agreement there continues to be substantial disagreement about almost everything else</w:t>
      </w:r>
      <w:r w:rsidR="0030064C">
        <w:rPr>
          <w:rFonts w:cstheme="minorHAnsi"/>
          <w:sz w:val="22"/>
          <w:szCs w:val="22"/>
        </w:rPr>
        <w:t>,</w:t>
      </w:r>
      <w:r w:rsidR="00D029FF">
        <w:rPr>
          <w:rFonts w:cstheme="minorHAnsi"/>
          <w:sz w:val="22"/>
          <w:szCs w:val="22"/>
        </w:rPr>
        <w:t xml:space="preserve"> including </w:t>
      </w:r>
      <w:r w:rsidR="0059765E">
        <w:rPr>
          <w:rFonts w:cstheme="minorHAnsi"/>
          <w:sz w:val="22"/>
          <w:szCs w:val="22"/>
        </w:rPr>
        <w:t xml:space="preserve">how we might get </w:t>
      </w:r>
      <w:r>
        <w:rPr>
          <w:rFonts w:cstheme="minorHAnsi"/>
          <w:sz w:val="22"/>
          <w:szCs w:val="22"/>
        </w:rPr>
        <w:t>a diverse judiciary</w:t>
      </w:r>
      <w:r w:rsidR="00D029FF">
        <w:rPr>
          <w:rFonts w:cstheme="minorHAnsi"/>
          <w:sz w:val="22"/>
          <w:szCs w:val="22"/>
        </w:rPr>
        <w:t xml:space="preserve">, </w:t>
      </w:r>
      <w:r w:rsidR="00D876B8">
        <w:rPr>
          <w:rFonts w:cstheme="minorHAnsi"/>
          <w:sz w:val="22"/>
          <w:szCs w:val="22"/>
        </w:rPr>
        <w:t>how long it should take</w:t>
      </w:r>
      <w:r w:rsidR="00D029FF">
        <w:rPr>
          <w:rFonts w:cstheme="minorHAnsi"/>
          <w:sz w:val="22"/>
          <w:szCs w:val="22"/>
        </w:rPr>
        <w:t xml:space="preserve">, </w:t>
      </w:r>
      <w:r w:rsidR="00D876B8">
        <w:rPr>
          <w:rFonts w:cstheme="minorHAnsi"/>
          <w:sz w:val="22"/>
          <w:szCs w:val="22"/>
        </w:rPr>
        <w:t>what it might look like</w:t>
      </w:r>
      <w:r w:rsidR="000767C9">
        <w:rPr>
          <w:rFonts w:cstheme="minorHAnsi"/>
          <w:sz w:val="22"/>
          <w:szCs w:val="22"/>
        </w:rPr>
        <w:t>,</w:t>
      </w:r>
      <w:r w:rsidR="00D029FF">
        <w:rPr>
          <w:rFonts w:cstheme="minorHAnsi"/>
          <w:sz w:val="22"/>
          <w:szCs w:val="22"/>
        </w:rPr>
        <w:t xml:space="preserve"> and </w:t>
      </w:r>
      <w:r w:rsidR="00D876B8">
        <w:rPr>
          <w:rFonts w:cstheme="minorHAnsi"/>
          <w:sz w:val="22"/>
          <w:szCs w:val="22"/>
        </w:rPr>
        <w:t>why we want it</w:t>
      </w:r>
      <w:r w:rsidR="0048338F">
        <w:rPr>
          <w:rFonts w:cstheme="minorHAnsi"/>
          <w:sz w:val="22"/>
          <w:szCs w:val="22"/>
        </w:rPr>
        <w:t xml:space="preserve"> in the first place</w:t>
      </w:r>
      <w:r w:rsidR="00D029FF">
        <w:rPr>
          <w:rFonts w:cstheme="minorHAnsi"/>
          <w:sz w:val="22"/>
          <w:szCs w:val="22"/>
        </w:rPr>
        <w:t>.</w:t>
      </w:r>
      <w:r w:rsidR="00120914">
        <w:rPr>
          <w:rStyle w:val="FootnoteReference"/>
          <w:rFonts w:cstheme="minorHAnsi"/>
          <w:sz w:val="22"/>
          <w:szCs w:val="22"/>
        </w:rPr>
        <w:footnoteReference w:id="45"/>
      </w:r>
      <w:r w:rsidR="00D029FF">
        <w:rPr>
          <w:rFonts w:cstheme="minorHAnsi"/>
          <w:sz w:val="22"/>
          <w:szCs w:val="22"/>
        </w:rPr>
        <w:t xml:space="preserve"> </w:t>
      </w:r>
      <w:r w:rsidR="0048338F">
        <w:rPr>
          <w:rFonts w:cstheme="minorHAnsi"/>
          <w:sz w:val="22"/>
          <w:szCs w:val="22"/>
        </w:rPr>
        <w:t xml:space="preserve"> </w:t>
      </w:r>
      <w:r w:rsidR="0030064C">
        <w:rPr>
          <w:rFonts w:cstheme="minorHAnsi"/>
          <w:sz w:val="22"/>
          <w:szCs w:val="22"/>
        </w:rPr>
        <w:t>It</w:t>
      </w:r>
      <w:r w:rsidR="00770DFB">
        <w:rPr>
          <w:rFonts w:cstheme="minorHAnsi"/>
          <w:sz w:val="22"/>
          <w:szCs w:val="22"/>
        </w:rPr>
        <w:t xml:space="preserve"> </w:t>
      </w:r>
      <w:r w:rsidR="00041440">
        <w:rPr>
          <w:rFonts w:cstheme="minorHAnsi"/>
          <w:sz w:val="22"/>
          <w:szCs w:val="22"/>
        </w:rPr>
        <w:t xml:space="preserve">is </w:t>
      </w:r>
      <w:r w:rsidR="0048338F">
        <w:rPr>
          <w:rFonts w:cstheme="minorHAnsi"/>
          <w:sz w:val="22"/>
          <w:szCs w:val="22"/>
        </w:rPr>
        <w:t>this final point – disagreement over the arguments for diversity –</w:t>
      </w:r>
      <w:r w:rsidR="00E12B5C">
        <w:rPr>
          <w:rFonts w:cstheme="minorHAnsi"/>
          <w:sz w:val="22"/>
          <w:szCs w:val="22"/>
        </w:rPr>
        <w:t xml:space="preserve"> </w:t>
      </w:r>
      <w:r w:rsidR="00770DFB">
        <w:rPr>
          <w:rFonts w:cstheme="minorHAnsi"/>
          <w:sz w:val="22"/>
          <w:szCs w:val="22"/>
        </w:rPr>
        <w:t xml:space="preserve">that </w:t>
      </w:r>
      <w:r w:rsidR="00E12B5C">
        <w:rPr>
          <w:rFonts w:cstheme="minorHAnsi"/>
          <w:sz w:val="22"/>
          <w:szCs w:val="22"/>
        </w:rPr>
        <w:t>matte</w:t>
      </w:r>
      <w:r w:rsidR="0048338F">
        <w:rPr>
          <w:rFonts w:cstheme="minorHAnsi"/>
          <w:sz w:val="22"/>
          <w:szCs w:val="22"/>
        </w:rPr>
        <w:t>rs.</w:t>
      </w:r>
      <w:r w:rsidR="00041440">
        <w:rPr>
          <w:rFonts w:cstheme="minorHAnsi"/>
          <w:sz w:val="22"/>
          <w:szCs w:val="22"/>
        </w:rPr>
        <w:t xml:space="preserve"> It matters because some arguments are stronger than others. Some have greater purchase with different audiences than others. And it </w:t>
      </w:r>
      <w:r w:rsidR="00AF0BC5">
        <w:rPr>
          <w:rFonts w:cstheme="minorHAnsi"/>
          <w:sz w:val="22"/>
          <w:szCs w:val="22"/>
        </w:rPr>
        <w:t>matters because</w:t>
      </w:r>
      <w:r w:rsidR="00211A38">
        <w:rPr>
          <w:rFonts w:cstheme="minorHAnsi"/>
          <w:sz w:val="22"/>
          <w:szCs w:val="22"/>
        </w:rPr>
        <w:t xml:space="preserve">, </w:t>
      </w:r>
      <w:r w:rsidR="00AF0BC5">
        <w:rPr>
          <w:rFonts w:cstheme="minorHAnsi"/>
          <w:sz w:val="22"/>
          <w:szCs w:val="22"/>
        </w:rPr>
        <w:t>in the end</w:t>
      </w:r>
      <w:r w:rsidR="00211A38">
        <w:rPr>
          <w:rFonts w:cstheme="minorHAnsi"/>
          <w:sz w:val="22"/>
          <w:szCs w:val="22"/>
        </w:rPr>
        <w:t>,</w:t>
      </w:r>
      <w:r w:rsidR="00AF0BC5">
        <w:rPr>
          <w:rFonts w:cstheme="minorHAnsi"/>
          <w:sz w:val="22"/>
          <w:szCs w:val="22"/>
        </w:rPr>
        <w:t xml:space="preserve"> different arguments for diversity take us in different directions.</w:t>
      </w:r>
      <w:r w:rsidR="00120914">
        <w:rPr>
          <w:rStyle w:val="FootnoteReference"/>
          <w:rFonts w:cstheme="minorHAnsi"/>
          <w:sz w:val="22"/>
          <w:szCs w:val="22"/>
        </w:rPr>
        <w:footnoteReference w:id="46"/>
      </w:r>
      <w:r w:rsidR="00120914">
        <w:rPr>
          <w:rFonts w:cstheme="minorHAnsi"/>
          <w:sz w:val="22"/>
          <w:szCs w:val="22"/>
        </w:rPr>
        <w:t xml:space="preserve"> Indeed, one consequence of the focus since the late 1990s on the process by which judges are appointed is a </w:t>
      </w:r>
      <w:r w:rsidR="006C2E6F">
        <w:rPr>
          <w:rFonts w:cstheme="minorHAnsi"/>
          <w:sz w:val="22"/>
          <w:szCs w:val="22"/>
        </w:rPr>
        <w:t>concomitant</w:t>
      </w:r>
      <w:r w:rsidR="00120914">
        <w:rPr>
          <w:rFonts w:cstheme="minorHAnsi"/>
          <w:sz w:val="22"/>
          <w:szCs w:val="22"/>
        </w:rPr>
        <w:t xml:space="preserve"> focus on</w:t>
      </w:r>
      <w:r w:rsidR="009913EA">
        <w:rPr>
          <w:rFonts w:cstheme="minorHAnsi"/>
          <w:sz w:val="22"/>
          <w:szCs w:val="22"/>
        </w:rPr>
        <w:t xml:space="preserve"> arguments for diversity grounded in</w:t>
      </w:r>
      <w:r w:rsidR="00120914">
        <w:rPr>
          <w:rFonts w:cstheme="minorHAnsi"/>
          <w:sz w:val="22"/>
          <w:szCs w:val="22"/>
        </w:rPr>
        <w:t xml:space="preserve"> equity</w:t>
      </w:r>
      <w:r w:rsidR="009913EA">
        <w:rPr>
          <w:rFonts w:cstheme="minorHAnsi"/>
          <w:sz w:val="22"/>
          <w:szCs w:val="22"/>
        </w:rPr>
        <w:t xml:space="preserve"> (that is, the ability of individuals to access and navigate the process of becoming a judge)</w:t>
      </w:r>
      <w:r w:rsidR="00120914">
        <w:rPr>
          <w:rFonts w:cstheme="minorHAnsi"/>
          <w:sz w:val="22"/>
          <w:szCs w:val="22"/>
        </w:rPr>
        <w:t xml:space="preserve"> and</w:t>
      </w:r>
      <w:r w:rsidR="009913EA">
        <w:rPr>
          <w:rFonts w:cstheme="minorHAnsi"/>
          <w:sz w:val="22"/>
          <w:szCs w:val="22"/>
        </w:rPr>
        <w:t>/or</w:t>
      </w:r>
      <w:r w:rsidR="00120914">
        <w:rPr>
          <w:rFonts w:cstheme="minorHAnsi"/>
          <w:sz w:val="22"/>
          <w:szCs w:val="22"/>
        </w:rPr>
        <w:t xml:space="preserve"> legitimacy</w:t>
      </w:r>
      <w:r w:rsidR="00F937C6">
        <w:rPr>
          <w:rFonts w:cstheme="minorHAnsi"/>
          <w:sz w:val="22"/>
          <w:szCs w:val="22"/>
        </w:rPr>
        <w:t xml:space="preserve"> </w:t>
      </w:r>
      <w:r w:rsidR="009913EA">
        <w:rPr>
          <w:rFonts w:cstheme="minorHAnsi"/>
          <w:sz w:val="22"/>
          <w:szCs w:val="22"/>
        </w:rPr>
        <w:t>(that is, the role of diversity in ensuring the status of, and public confidence in, the judiciary as a whole).</w:t>
      </w:r>
      <w:r w:rsidR="00120914">
        <w:rPr>
          <w:rStyle w:val="FootnoteReference"/>
          <w:rFonts w:cstheme="minorHAnsi"/>
          <w:sz w:val="22"/>
          <w:szCs w:val="22"/>
        </w:rPr>
        <w:footnoteReference w:id="47"/>
      </w:r>
      <w:r w:rsidR="00120914">
        <w:rPr>
          <w:rFonts w:cstheme="minorHAnsi"/>
          <w:sz w:val="22"/>
          <w:szCs w:val="22"/>
        </w:rPr>
        <w:t xml:space="preserve"> </w:t>
      </w:r>
    </w:p>
    <w:p w14:paraId="32CB57CA" w14:textId="3DF3B9EC" w:rsidR="006C2520" w:rsidRDefault="006C2520" w:rsidP="00F8400F">
      <w:pPr>
        <w:spacing w:line="360" w:lineRule="auto"/>
        <w:rPr>
          <w:rFonts w:cstheme="minorHAnsi"/>
          <w:sz w:val="22"/>
          <w:szCs w:val="22"/>
        </w:rPr>
      </w:pPr>
    </w:p>
    <w:p w14:paraId="15DDCE23" w14:textId="2B9B0E59" w:rsidR="005C028A" w:rsidRPr="005C028A" w:rsidRDefault="00211A38" w:rsidP="006C2520">
      <w:pPr>
        <w:spacing w:line="360" w:lineRule="auto"/>
        <w:rPr>
          <w:rFonts w:cstheme="minorHAnsi"/>
          <w:sz w:val="22"/>
          <w:szCs w:val="22"/>
        </w:rPr>
      </w:pPr>
      <w:r>
        <w:rPr>
          <w:rFonts w:cstheme="minorHAnsi"/>
          <w:sz w:val="22"/>
          <w:szCs w:val="22"/>
        </w:rPr>
        <w:t>The q</w:t>
      </w:r>
      <w:r w:rsidR="006C2520">
        <w:rPr>
          <w:rFonts w:cstheme="minorHAnsi"/>
          <w:sz w:val="22"/>
          <w:szCs w:val="22"/>
        </w:rPr>
        <w:t>uality argument</w:t>
      </w:r>
      <w:r>
        <w:rPr>
          <w:rFonts w:cstheme="minorHAnsi"/>
          <w:sz w:val="22"/>
          <w:szCs w:val="22"/>
        </w:rPr>
        <w:t xml:space="preserve"> is different. It</w:t>
      </w:r>
      <w:r w:rsidR="006C2520">
        <w:rPr>
          <w:rFonts w:cstheme="minorHAnsi"/>
          <w:sz w:val="22"/>
          <w:szCs w:val="22"/>
        </w:rPr>
        <w:t xml:space="preserve"> focuses not on how individuals access the institution, or the </w:t>
      </w:r>
      <w:r w:rsidR="00D876B8">
        <w:rPr>
          <w:rFonts w:cstheme="minorHAnsi"/>
          <w:sz w:val="22"/>
          <w:szCs w:val="22"/>
        </w:rPr>
        <w:t xml:space="preserve">status or legitimacy </w:t>
      </w:r>
      <w:r w:rsidR="008F6964">
        <w:rPr>
          <w:rFonts w:cstheme="minorHAnsi"/>
          <w:sz w:val="22"/>
          <w:szCs w:val="22"/>
        </w:rPr>
        <w:t xml:space="preserve">of the </w:t>
      </w:r>
      <w:r w:rsidR="006C2520">
        <w:rPr>
          <w:rFonts w:cstheme="minorHAnsi"/>
          <w:sz w:val="22"/>
          <w:szCs w:val="22"/>
        </w:rPr>
        <w:t>institution itself, but on</w:t>
      </w:r>
      <w:r w:rsidR="004633F7">
        <w:rPr>
          <w:rFonts w:cstheme="minorHAnsi"/>
          <w:sz w:val="22"/>
          <w:szCs w:val="22"/>
        </w:rPr>
        <w:t xml:space="preserve"> what we might call</w:t>
      </w:r>
      <w:r w:rsidR="006C2520">
        <w:rPr>
          <w:rFonts w:cstheme="minorHAnsi"/>
          <w:sz w:val="22"/>
          <w:szCs w:val="22"/>
        </w:rPr>
        <w:t xml:space="preserve"> the judicial </w:t>
      </w:r>
      <w:r w:rsidR="009913EA">
        <w:rPr>
          <w:rFonts w:cstheme="minorHAnsi"/>
          <w:sz w:val="22"/>
          <w:szCs w:val="22"/>
        </w:rPr>
        <w:t>‘</w:t>
      </w:r>
      <w:r w:rsidR="006C2520">
        <w:rPr>
          <w:rFonts w:cstheme="minorHAnsi"/>
          <w:sz w:val="22"/>
          <w:szCs w:val="22"/>
        </w:rPr>
        <w:t>output</w:t>
      </w:r>
      <w:r w:rsidR="009913EA">
        <w:rPr>
          <w:rFonts w:cstheme="minorHAnsi"/>
          <w:sz w:val="22"/>
          <w:szCs w:val="22"/>
        </w:rPr>
        <w:t>’</w:t>
      </w:r>
      <w:r w:rsidR="006C2520">
        <w:rPr>
          <w:rFonts w:cstheme="minorHAnsi"/>
          <w:sz w:val="22"/>
          <w:szCs w:val="22"/>
        </w:rPr>
        <w:t xml:space="preserve">, on what judges do </w:t>
      </w:r>
      <w:r w:rsidR="00D876B8">
        <w:rPr>
          <w:rFonts w:cstheme="minorHAnsi"/>
          <w:sz w:val="22"/>
          <w:szCs w:val="22"/>
        </w:rPr>
        <w:t>once</w:t>
      </w:r>
      <w:r w:rsidR="006C2520">
        <w:rPr>
          <w:rFonts w:cstheme="minorHAnsi"/>
          <w:sz w:val="22"/>
          <w:szCs w:val="22"/>
        </w:rPr>
        <w:t xml:space="preserve"> they get there. </w:t>
      </w:r>
      <w:r w:rsidR="00E5135C">
        <w:rPr>
          <w:rFonts w:cstheme="minorHAnsi"/>
          <w:sz w:val="22"/>
          <w:szCs w:val="22"/>
        </w:rPr>
        <w:t xml:space="preserve">We can see an example of this in </w:t>
      </w:r>
      <w:r w:rsidR="006C2520">
        <w:rPr>
          <w:rFonts w:cstheme="minorHAnsi"/>
          <w:sz w:val="22"/>
          <w:szCs w:val="22"/>
        </w:rPr>
        <w:t>Helena Normanton’s argument</w:t>
      </w:r>
      <w:r w:rsidR="00E5135C">
        <w:rPr>
          <w:rFonts w:cstheme="minorHAnsi"/>
          <w:sz w:val="22"/>
          <w:szCs w:val="22"/>
        </w:rPr>
        <w:t>, w</w:t>
      </w:r>
      <w:r w:rsidR="006C2520">
        <w:rPr>
          <w:rFonts w:cstheme="minorHAnsi"/>
          <w:sz w:val="22"/>
          <w:szCs w:val="22"/>
        </w:rPr>
        <w:t xml:space="preserve">riting in </w:t>
      </w:r>
      <w:r w:rsidR="0030064C">
        <w:rPr>
          <w:rFonts w:cstheme="minorHAnsi"/>
          <w:i/>
          <w:iCs/>
          <w:sz w:val="22"/>
          <w:szCs w:val="22"/>
        </w:rPr>
        <w:t>T</w:t>
      </w:r>
      <w:r w:rsidR="006C2520" w:rsidRPr="0030064C">
        <w:rPr>
          <w:rFonts w:cstheme="minorHAnsi"/>
          <w:i/>
          <w:iCs/>
          <w:sz w:val="22"/>
          <w:szCs w:val="22"/>
        </w:rPr>
        <w:t>he</w:t>
      </w:r>
      <w:r w:rsidR="006C2520">
        <w:rPr>
          <w:rFonts w:cstheme="minorHAnsi"/>
          <w:sz w:val="22"/>
          <w:szCs w:val="22"/>
        </w:rPr>
        <w:t xml:space="preserve"> </w:t>
      </w:r>
      <w:r w:rsidR="006C2520">
        <w:rPr>
          <w:rFonts w:cstheme="minorHAnsi"/>
          <w:i/>
          <w:iCs/>
          <w:sz w:val="22"/>
          <w:szCs w:val="22"/>
        </w:rPr>
        <w:t>Daily Mail</w:t>
      </w:r>
      <w:r w:rsidR="003B1370">
        <w:rPr>
          <w:rFonts w:cstheme="minorHAnsi"/>
          <w:i/>
          <w:iCs/>
          <w:sz w:val="22"/>
          <w:szCs w:val="22"/>
        </w:rPr>
        <w:t xml:space="preserve"> </w:t>
      </w:r>
      <w:r w:rsidR="003B1370">
        <w:rPr>
          <w:rFonts w:cstheme="minorHAnsi"/>
          <w:sz w:val="22"/>
          <w:szCs w:val="22"/>
        </w:rPr>
        <w:t>in 1937</w:t>
      </w:r>
      <w:r w:rsidR="006C2520">
        <w:rPr>
          <w:rFonts w:cstheme="minorHAnsi"/>
          <w:i/>
          <w:iCs/>
          <w:sz w:val="22"/>
          <w:szCs w:val="22"/>
        </w:rPr>
        <w:t xml:space="preserve"> </w:t>
      </w:r>
      <w:r w:rsidR="006C2520">
        <w:rPr>
          <w:rFonts w:cstheme="minorHAnsi"/>
          <w:sz w:val="22"/>
          <w:szCs w:val="22"/>
        </w:rPr>
        <w:t>under the headline ‘Women Judges NOW’</w:t>
      </w:r>
      <w:r w:rsidR="00E5135C">
        <w:rPr>
          <w:rFonts w:cstheme="minorHAnsi"/>
          <w:sz w:val="22"/>
          <w:szCs w:val="22"/>
        </w:rPr>
        <w:t>.</w:t>
      </w:r>
      <w:r w:rsidR="00CF0AAE">
        <w:rPr>
          <w:rFonts w:cstheme="minorHAnsi"/>
          <w:sz w:val="22"/>
          <w:szCs w:val="22"/>
        </w:rPr>
        <w:t xml:space="preserve"> </w:t>
      </w:r>
      <w:r w:rsidR="00E5135C">
        <w:rPr>
          <w:rFonts w:cstheme="minorHAnsi"/>
          <w:sz w:val="22"/>
          <w:szCs w:val="22"/>
        </w:rPr>
        <w:t>S</w:t>
      </w:r>
      <w:r w:rsidR="006C2520">
        <w:rPr>
          <w:rFonts w:cstheme="minorHAnsi"/>
          <w:sz w:val="22"/>
          <w:szCs w:val="22"/>
        </w:rPr>
        <w:t>he ask</w:t>
      </w:r>
      <w:r w:rsidR="00E5135C">
        <w:rPr>
          <w:rFonts w:cstheme="minorHAnsi"/>
          <w:sz w:val="22"/>
          <w:szCs w:val="22"/>
        </w:rPr>
        <w:t>s</w:t>
      </w:r>
      <w:r w:rsidR="006C2520">
        <w:rPr>
          <w:rFonts w:cstheme="minorHAnsi"/>
          <w:sz w:val="22"/>
          <w:szCs w:val="22"/>
        </w:rPr>
        <w:t xml:space="preserve"> why Great Britain continue</w:t>
      </w:r>
      <w:r w:rsidR="00E5135C">
        <w:rPr>
          <w:rFonts w:cstheme="minorHAnsi"/>
          <w:sz w:val="22"/>
          <w:szCs w:val="22"/>
        </w:rPr>
        <w:t>s</w:t>
      </w:r>
      <w:r w:rsidR="006C2520">
        <w:rPr>
          <w:rFonts w:cstheme="minorHAnsi"/>
          <w:sz w:val="22"/>
          <w:szCs w:val="22"/>
        </w:rPr>
        <w:t xml:space="preserve"> to </w:t>
      </w:r>
      <w:r w:rsidR="006C2520" w:rsidRPr="006C2520">
        <w:rPr>
          <w:rFonts w:cstheme="minorHAnsi"/>
          <w:sz w:val="22"/>
          <w:szCs w:val="22"/>
        </w:rPr>
        <w:t xml:space="preserve">‘so callously … ignore the latent and patent talent of her legally trained </w:t>
      </w:r>
      <w:r w:rsidR="006C2520" w:rsidRPr="005C028A">
        <w:rPr>
          <w:rFonts w:cstheme="minorHAnsi"/>
          <w:sz w:val="22"/>
          <w:szCs w:val="22"/>
        </w:rPr>
        <w:t>women’, pointing to the presence of women judges across Europe, the US and China. Going on to answer her own question as to</w:t>
      </w:r>
      <w:r w:rsidR="00E5135C" w:rsidRPr="005C028A">
        <w:rPr>
          <w:rFonts w:cstheme="minorHAnsi"/>
          <w:sz w:val="22"/>
          <w:szCs w:val="22"/>
        </w:rPr>
        <w:t xml:space="preserve"> the</w:t>
      </w:r>
      <w:r w:rsidR="006C2520" w:rsidRPr="005C028A">
        <w:rPr>
          <w:rFonts w:cstheme="minorHAnsi"/>
          <w:sz w:val="22"/>
          <w:szCs w:val="22"/>
        </w:rPr>
        <w:t xml:space="preserve"> </w:t>
      </w:r>
      <w:r w:rsidR="00E5135C" w:rsidRPr="005C028A">
        <w:rPr>
          <w:rFonts w:cstheme="minorHAnsi"/>
          <w:sz w:val="22"/>
          <w:szCs w:val="22"/>
        </w:rPr>
        <w:t>‘</w:t>
      </w:r>
      <w:r w:rsidR="006C2520" w:rsidRPr="005C028A">
        <w:rPr>
          <w:rFonts w:cstheme="minorHAnsi"/>
          <w:sz w:val="22"/>
          <w:szCs w:val="22"/>
        </w:rPr>
        <w:t xml:space="preserve">difference’ women judges </w:t>
      </w:r>
      <w:r w:rsidR="00E5135C" w:rsidRPr="005C028A">
        <w:rPr>
          <w:rFonts w:cstheme="minorHAnsi"/>
          <w:sz w:val="22"/>
          <w:szCs w:val="22"/>
        </w:rPr>
        <w:t>would</w:t>
      </w:r>
      <w:r w:rsidR="006C2520" w:rsidRPr="005C028A">
        <w:rPr>
          <w:rFonts w:cstheme="minorHAnsi"/>
          <w:sz w:val="22"/>
          <w:szCs w:val="22"/>
        </w:rPr>
        <w:t xml:space="preserve"> make</w:t>
      </w:r>
      <w:r w:rsidR="00E5135C" w:rsidRPr="005C028A">
        <w:rPr>
          <w:rFonts w:cstheme="minorHAnsi"/>
          <w:sz w:val="22"/>
          <w:szCs w:val="22"/>
        </w:rPr>
        <w:t>, she continues</w:t>
      </w:r>
      <w:r w:rsidR="006C2520" w:rsidRPr="005C028A">
        <w:rPr>
          <w:rFonts w:cstheme="minorHAnsi"/>
          <w:sz w:val="22"/>
          <w:szCs w:val="22"/>
        </w:rPr>
        <w:t>:</w:t>
      </w:r>
      <w:r w:rsidR="00AF0BC5" w:rsidRPr="005C028A">
        <w:rPr>
          <w:rFonts w:cstheme="minorHAnsi"/>
          <w:i/>
          <w:iCs/>
          <w:sz w:val="22"/>
          <w:szCs w:val="22"/>
        </w:rPr>
        <w:t xml:space="preserve"> </w:t>
      </w:r>
    </w:p>
    <w:p w14:paraId="3F147ADA" w14:textId="31C2636D" w:rsidR="00D029FF" w:rsidRPr="005C028A" w:rsidRDefault="005C028A" w:rsidP="002E0BDE">
      <w:pPr>
        <w:spacing w:line="360" w:lineRule="auto"/>
        <w:ind w:left="720"/>
        <w:rPr>
          <w:rFonts w:cstheme="minorHAnsi"/>
          <w:sz w:val="22"/>
          <w:szCs w:val="22"/>
        </w:rPr>
      </w:pPr>
      <w:r w:rsidRPr="005C028A">
        <w:rPr>
          <w:rFonts w:cstheme="minorHAnsi"/>
          <w:color w:val="292526"/>
          <w:sz w:val="22"/>
          <w:szCs w:val="22"/>
        </w:rPr>
        <w:t xml:space="preserve">[Women judges] will bring that wider variegation of personality which interprets the law and applies its remedies and penalties to suit the persons before them. This will be especially valuable in dealing with women and young people and in applying the modern social and more humane type of legislation such as the new Matrimonial Causes Act … </w:t>
      </w:r>
      <w:r w:rsidR="00AF0BC5" w:rsidRPr="005C028A">
        <w:rPr>
          <w:rFonts w:cstheme="minorHAnsi"/>
          <w:sz w:val="22"/>
          <w:szCs w:val="22"/>
        </w:rPr>
        <w:t xml:space="preserve">There is a whole field of legal remedies in which the knowledge </w:t>
      </w:r>
      <w:r w:rsidR="0030064C">
        <w:rPr>
          <w:rFonts w:cstheme="minorHAnsi"/>
          <w:sz w:val="22"/>
          <w:szCs w:val="22"/>
        </w:rPr>
        <w:t>of</w:t>
      </w:r>
      <w:r w:rsidR="00AF0BC5" w:rsidRPr="005C028A">
        <w:rPr>
          <w:rFonts w:cstheme="minorHAnsi"/>
          <w:sz w:val="22"/>
          <w:szCs w:val="22"/>
        </w:rPr>
        <w:t xml:space="preserve"> life</w:t>
      </w:r>
      <w:r w:rsidR="0030064C">
        <w:rPr>
          <w:rFonts w:cstheme="minorHAnsi"/>
          <w:sz w:val="22"/>
          <w:szCs w:val="22"/>
        </w:rPr>
        <w:t xml:space="preserve"> of women </w:t>
      </w:r>
      <w:r w:rsidR="00AF0BC5" w:rsidRPr="005C028A">
        <w:rPr>
          <w:rFonts w:cstheme="minorHAnsi"/>
          <w:sz w:val="22"/>
          <w:szCs w:val="22"/>
        </w:rPr>
        <w:t>would be particularly valuable’.</w:t>
      </w:r>
      <w:r w:rsidRPr="005C028A">
        <w:rPr>
          <w:rStyle w:val="FootnoteReference"/>
          <w:rFonts w:cstheme="minorHAnsi"/>
          <w:sz w:val="22"/>
          <w:szCs w:val="22"/>
        </w:rPr>
        <w:footnoteReference w:id="48"/>
      </w:r>
    </w:p>
    <w:p w14:paraId="7E29144C" w14:textId="588877A1" w:rsidR="005A064C" w:rsidRDefault="00041440" w:rsidP="00F8400F">
      <w:pPr>
        <w:spacing w:line="360" w:lineRule="auto"/>
        <w:rPr>
          <w:rFonts w:cstheme="minorHAnsi"/>
          <w:sz w:val="22"/>
          <w:szCs w:val="22"/>
        </w:rPr>
      </w:pPr>
      <w:r w:rsidRPr="005C028A">
        <w:rPr>
          <w:rFonts w:cstheme="minorHAnsi"/>
          <w:sz w:val="22"/>
          <w:szCs w:val="22"/>
        </w:rPr>
        <w:t>She was not alone.</w:t>
      </w:r>
      <w:r w:rsidR="00595CB5" w:rsidRPr="005C028A">
        <w:rPr>
          <w:rFonts w:cstheme="minorHAnsi"/>
          <w:sz w:val="22"/>
          <w:szCs w:val="22"/>
        </w:rPr>
        <w:t xml:space="preserve"> </w:t>
      </w:r>
      <w:r w:rsidR="007942BD">
        <w:rPr>
          <w:rFonts w:cstheme="minorHAnsi"/>
          <w:sz w:val="22"/>
          <w:szCs w:val="22"/>
        </w:rPr>
        <w:t>Mrs</w:t>
      </w:r>
      <w:r w:rsidR="009906C0">
        <w:rPr>
          <w:rFonts w:cstheme="minorHAnsi"/>
          <w:sz w:val="22"/>
          <w:szCs w:val="22"/>
        </w:rPr>
        <w:t xml:space="preserve"> </w:t>
      </w:r>
      <w:proofErr w:type="spellStart"/>
      <w:r w:rsidR="009906C0">
        <w:rPr>
          <w:rFonts w:cstheme="minorHAnsi"/>
          <w:sz w:val="22"/>
          <w:szCs w:val="22"/>
        </w:rPr>
        <w:t>Swanwick</w:t>
      </w:r>
      <w:proofErr w:type="spellEnd"/>
      <w:r w:rsidR="009906C0">
        <w:rPr>
          <w:rFonts w:cstheme="minorHAnsi"/>
          <w:sz w:val="22"/>
          <w:szCs w:val="22"/>
        </w:rPr>
        <w:t xml:space="preserve">, </w:t>
      </w:r>
      <w:r w:rsidR="007942BD">
        <w:rPr>
          <w:rFonts w:cstheme="minorHAnsi"/>
          <w:sz w:val="22"/>
          <w:szCs w:val="22"/>
        </w:rPr>
        <w:t>described</w:t>
      </w:r>
      <w:r w:rsidR="004C7399">
        <w:rPr>
          <w:rFonts w:cstheme="minorHAnsi"/>
          <w:sz w:val="22"/>
          <w:szCs w:val="22"/>
        </w:rPr>
        <w:t xml:space="preserve"> in the newspaper report</w:t>
      </w:r>
      <w:r w:rsidR="007942BD">
        <w:rPr>
          <w:rFonts w:cstheme="minorHAnsi"/>
          <w:sz w:val="22"/>
          <w:szCs w:val="22"/>
        </w:rPr>
        <w:t xml:space="preserve"> as ‘a social worker in the Manchester district’ (though likely to be Helena </w:t>
      </w:r>
      <w:proofErr w:type="spellStart"/>
      <w:r w:rsidR="007942BD">
        <w:rPr>
          <w:rFonts w:cstheme="minorHAnsi"/>
          <w:sz w:val="22"/>
          <w:szCs w:val="22"/>
        </w:rPr>
        <w:t>Swanwick</w:t>
      </w:r>
      <w:proofErr w:type="spellEnd"/>
      <w:r w:rsidR="007942BD">
        <w:rPr>
          <w:rFonts w:cstheme="minorHAnsi"/>
          <w:sz w:val="22"/>
          <w:szCs w:val="22"/>
        </w:rPr>
        <w:t xml:space="preserve">, </w:t>
      </w:r>
      <w:r w:rsidR="009906C0">
        <w:rPr>
          <w:rFonts w:cstheme="minorHAnsi"/>
          <w:sz w:val="22"/>
          <w:szCs w:val="22"/>
        </w:rPr>
        <w:t xml:space="preserve">a prominent </w:t>
      </w:r>
      <w:r w:rsidR="007942BD">
        <w:rPr>
          <w:rFonts w:cstheme="minorHAnsi"/>
          <w:sz w:val="22"/>
          <w:szCs w:val="22"/>
        </w:rPr>
        <w:t xml:space="preserve">suffrage and peace campaigner) </w:t>
      </w:r>
      <w:r w:rsidR="009906C0">
        <w:rPr>
          <w:rFonts w:cstheme="minorHAnsi"/>
          <w:sz w:val="22"/>
          <w:szCs w:val="22"/>
        </w:rPr>
        <w:t xml:space="preserve">had called for </w:t>
      </w:r>
      <w:r w:rsidR="009906C0">
        <w:rPr>
          <w:rFonts w:cstheme="minorHAnsi"/>
          <w:sz w:val="22"/>
          <w:szCs w:val="22"/>
        </w:rPr>
        <w:lastRenderedPageBreak/>
        <w:t>women judges</w:t>
      </w:r>
      <w:r w:rsidR="00A55895">
        <w:rPr>
          <w:rFonts w:cstheme="minorHAnsi"/>
          <w:sz w:val="22"/>
          <w:szCs w:val="22"/>
        </w:rPr>
        <w:t xml:space="preserve">, </w:t>
      </w:r>
      <w:r w:rsidR="007942BD">
        <w:rPr>
          <w:rFonts w:cstheme="minorHAnsi"/>
          <w:sz w:val="22"/>
          <w:szCs w:val="22"/>
        </w:rPr>
        <w:t>alongside women jurors, magistrates and lawyers</w:t>
      </w:r>
      <w:r w:rsidR="004633F7">
        <w:rPr>
          <w:rFonts w:cstheme="minorHAnsi"/>
          <w:sz w:val="22"/>
          <w:szCs w:val="22"/>
        </w:rPr>
        <w:t>,</w:t>
      </w:r>
      <w:r w:rsidR="0030064C">
        <w:rPr>
          <w:rFonts w:cstheme="minorHAnsi"/>
          <w:sz w:val="22"/>
          <w:szCs w:val="22"/>
        </w:rPr>
        <w:t xml:space="preserve"> </w:t>
      </w:r>
      <w:r w:rsidR="009906C0">
        <w:rPr>
          <w:rFonts w:cstheme="minorHAnsi"/>
          <w:sz w:val="22"/>
          <w:szCs w:val="22"/>
        </w:rPr>
        <w:t>back in 1910.</w:t>
      </w:r>
      <w:r w:rsidR="009906C0">
        <w:rPr>
          <w:rStyle w:val="FootnoteReference"/>
          <w:rFonts w:cstheme="minorHAnsi"/>
          <w:sz w:val="22"/>
          <w:szCs w:val="22"/>
        </w:rPr>
        <w:footnoteReference w:id="49"/>
      </w:r>
      <w:r w:rsidR="00D16656">
        <w:rPr>
          <w:rFonts w:cstheme="minorHAnsi"/>
          <w:sz w:val="22"/>
          <w:szCs w:val="22"/>
        </w:rPr>
        <w:t xml:space="preserve"> </w:t>
      </w:r>
      <w:r w:rsidR="0030064C">
        <w:rPr>
          <w:rFonts w:cstheme="minorHAnsi"/>
          <w:sz w:val="22"/>
          <w:szCs w:val="22"/>
        </w:rPr>
        <w:t>I</w:t>
      </w:r>
      <w:r w:rsidR="00D16656">
        <w:rPr>
          <w:rFonts w:cstheme="minorHAnsi"/>
          <w:sz w:val="22"/>
          <w:szCs w:val="22"/>
        </w:rPr>
        <w:t xml:space="preserve">n 1922 </w:t>
      </w:r>
      <w:r w:rsidR="00D16656" w:rsidRPr="005C028A">
        <w:rPr>
          <w:rFonts w:cstheme="minorHAnsi"/>
          <w:sz w:val="22"/>
          <w:szCs w:val="22"/>
        </w:rPr>
        <w:t>Sir Alfred Davies MP, who had practi</w:t>
      </w:r>
      <w:r w:rsidR="00D46F57">
        <w:rPr>
          <w:rFonts w:cstheme="minorHAnsi"/>
          <w:sz w:val="22"/>
          <w:szCs w:val="22"/>
        </w:rPr>
        <w:t>s</w:t>
      </w:r>
      <w:r w:rsidR="00D16656" w:rsidRPr="005C028A">
        <w:rPr>
          <w:rFonts w:cstheme="minorHAnsi"/>
          <w:sz w:val="22"/>
          <w:szCs w:val="22"/>
        </w:rPr>
        <w:t xml:space="preserve">ed as a solicitor in Liverpool, </w:t>
      </w:r>
      <w:r w:rsidR="00D16656">
        <w:rPr>
          <w:rFonts w:cstheme="minorHAnsi"/>
          <w:sz w:val="22"/>
          <w:szCs w:val="22"/>
        </w:rPr>
        <w:t>had asked whether</w:t>
      </w:r>
      <w:r w:rsidR="00D16656" w:rsidRPr="005C028A">
        <w:rPr>
          <w:rFonts w:cstheme="minorHAnsi"/>
          <w:sz w:val="22"/>
          <w:szCs w:val="22"/>
        </w:rPr>
        <w:t xml:space="preserve"> women</w:t>
      </w:r>
      <w:r w:rsidR="00D16656">
        <w:rPr>
          <w:rFonts w:cstheme="minorHAnsi"/>
          <w:sz w:val="22"/>
          <w:szCs w:val="22"/>
        </w:rPr>
        <w:t xml:space="preserve"> could be</w:t>
      </w:r>
      <w:r w:rsidR="00D16656" w:rsidRPr="005C028A">
        <w:rPr>
          <w:rFonts w:cstheme="minorHAnsi"/>
          <w:sz w:val="22"/>
          <w:szCs w:val="22"/>
        </w:rPr>
        <w:t xml:space="preserve"> judges in </w:t>
      </w:r>
      <w:r w:rsidR="00D16656">
        <w:rPr>
          <w:rFonts w:cstheme="minorHAnsi"/>
          <w:sz w:val="22"/>
          <w:szCs w:val="22"/>
        </w:rPr>
        <w:t xml:space="preserve">a written question to </w:t>
      </w:r>
      <w:r w:rsidR="0030064C">
        <w:rPr>
          <w:rFonts w:cstheme="minorHAnsi"/>
          <w:sz w:val="22"/>
          <w:szCs w:val="22"/>
        </w:rPr>
        <w:t xml:space="preserve">the recently appointed Attorney-General, </w:t>
      </w:r>
      <w:r w:rsidR="00D16656">
        <w:rPr>
          <w:rFonts w:cstheme="minorHAnsi"/>
          <w:sz w:val="22"/>
          <w:szCs w:val="22"/>
        </w:rPr>
        <w:t>Sir Ernest Pollock,</w:t>
      </w:r>
      <w:r w:rsidR="00D16656" w:rsidRPr="005C028A">
        <w:rPr>
          <w:rFonts w:cstheme="minorHAnsi"/>
          <w:sz w:val="22"/>
          <w:szCs w:val="22"/>
        </w:rPr>
        <w:t>.</w:t>
      </w:r>
      <w:r w:rsidR="00D16656" w:rsidRPr="005C028A">
        <w:rPr>
          <w:rStyle w:val="FootnoteReference"/>
          <w:rFonts w:cstheme="minorHAnsi"/>
          <w:sz w:val="22"/>
          <w:szCs w:val="22"/>
        </w:rPr>
        <w:footnoteReference w:id="50"/>
      </w:r>
      <w:r w:rsidR="009906C0">
        <w:rPr>
          <w:rFonts w:cstheme="minorHAnsi"/>
          <w:sz w:val="22"/>
          <w:szCs w:val="22"/>
        </w:rPr>
        <w:t xml:space="preserve"> </w:t>
      </w:r>
      <w:r w:rsidR="0030064C">
        <w:rPr>
          <w:rFonts w:cstheme="minorHAnsi"/>
          <w:sz w:val="22"/>
          <w:szCs w:val="22"/>
        </w:rPr>
        <w:t>In fact, a</w:t>
      </w:r>
      <w:r w:rsidR="004C7399" w:rsidRPr="005C028A">
        <w:rPr>
          <w:rFonts w:cstheme="minorHAnsi"/>
          <w:sz w:val="22"/>
          <w:szCs w:val="22"/>
        </w:rPr>
        <w:t xml:space="preserve">rticles making the case for </w:t>
      </w:r>
      <w:r w:rsidR="00D16656">
        <w:rPr>
          <w:rFonts w:cstheme="minorHAnsi"/>
          <w:sz w:val="22"/>
          <w:szCs w:val="22"/>
        </w:rPr>
        <w:t>women’s appointment as judges</w:t>
      </w:r>
      <w:r w:rsidR="00291F89">
        <w:rPr>
          <w:rFonts w:cstheme="minorHAnsi"/>
          <w:sz w:val="22"/>
          <w:szCs w:val="22"/>
        </w:rPr>
        <w:t xml:space="preserve">, as well as calls for the </w:t>
      </w:r>
      <w:r w:rsidR="00280C4D">
        <w:rPr>
          <w:rFonts w:cstheme="minorHAnsi"/>
          <w:sz w:val="22"/>
          <w:szCs w:val="22"/>
        </w:rPr>
        <w:t>appointment of women judges</w:t>
      </w:r>
      <w:r w:rsidR="00280C4D" w:rsidRPr="00280C4D">
        <w:rPr>
          <w:rFonts w:cstheme="minorHAnsi"/>
          <w:sz w:val="22"/>
          <w:szCs w:val="22"/>
        </w:rPr>
        <w:t xml:space="preserve"> </w:t>
      </w:r>
      <w:r w:rsidR="00280C4D">
        <w:rPr>
          <w:rFonts w:cstheme="minorHAnsi"/>
          <w:sz w:val="22"/>
          <w:szCs w:val="22"/>
        </w:rPr>
        <w:t xml:space="preserve">from </w:t>
      </w:r>
      <w:r w:rsidR="00280C4D" w:rsidRPr="00291F89">
        <w:rPr>
          <w:rFonts w:cstheme="minorHAnsi"/>
          <w:sz w:val="22"/>
          <w:szCs w:val="22"/>
        </w:rPr>
        <w:t>various women’s societies</w:t>
      </w:r>
      <w:r w:rsidR="00280C4D">
        <w:rPr>
          <w:rFonts w:cstheme="minorHAnsi"/>
          <w:sz w:val="22"/>
          <w:szCs w:val="22"/>
        </w:rPr>
        <w:t xml:space="preserve"> and organisations, </w:t>
      </w:r>
      <w:r w:rsidR="004C7399" w:rsidRPr="005C028A">
        <w:rPr>
          <w:rFonts w:cstheme="minorHAnsi"/>
          <w:sz w:val="22"/>
          <w:szCs w:val="22"/>
        </w:rPr>
        <w:t>appeared in the press relatively frequently throughout</w:t>
      </w:r>
      <w:r w:rsidR="004C7399">
        <w:rPr>
          <w:rFonts w:cstheme="minorHAnsi"/>
          <w:sz w:val="22"/>
          <w:szCs w:val="22"/>
        </w:rPr>
        <w:t xml:space="preserve"> the 1920s and 30s.</w:t>
      </w:r>
      <w:r w:rsidR="004C7399">
        <w:rPr>
          <w:rStyle w:val="FootnoteReference"/>
          <w:rFonts w:cstheme="minorHAnsi"/>
          <w:sz w:val="22"/>
          <w:szCs w:val="22"/>
        </w:rPr>
        <w:footnoteReference w:id="51"/>
      </w:r>
      <w:r w:rsidR="00291F89">
        <w:rPr>
          <w:rFonts w:cstheme="minorHAnsi"/>
          <w:sz w:val="22"/>
          <w:szCs w:val="22"/>
        </w:rPr>
        <w:t xml:space="preserve"> A</w:t>
      </w:r>
      <w:r w:rsidR="00291F89" w:rsidRPr="00291F89">
        <w:rPr>
          <w:rFonts w:cstheme="minorHAnsi"/>
          <w:sz w:val="22"/>
          <w:szCs w:val="22"/>
        </w:rPr>
        <w:t>fter all, as Miss F A Underwood, secretary of the Women’s Freedom League noted</w:t>
      </w:r>
      <w:r w:rsidR="00280C4D">
        <w:rPr>
          <w:rFonts w:cstheme="minorHAnsi"/>
          <w:sz w:val="22"/>
          <w:szCs w:val="22"/>
        </w:rPr>
        <w:t xml:space="preserve"> in 1935 </w:t>
      </w:r>
      <w:r w:rsidR="00291F89" w:rsidRPr="00291F89">
        <w:rPr>
          <w:rFonts w:cstheme="minorHAnsi"/>
          <w:sz w:val="22"/>
          <w:szCs w:val="22"/>
        </w:rPr>
        <w:t>‘women have been practising as barristers for so many years it is surely possible to find some whose qualifications fit them for a judgeship’.</w:t>
      </w:r>
      <w:r w:rsidR="00280C4D">
        <w:rPr>
          <w:rStyle w:val="FootnoteReference"/>
          <w:rFonts w:cstheme="minorHAnsi"/>
          <w:sz w:val="22"/>
          <w:szCs w:val="22"/>
        </w:rPr>
        <w:footnoteReference w:id="52"/>
      </w:r>
      <w:r w:rsidR="00291F89" w:rsidRPr="00291F89">
        <w:rPr>
          <w:rFonts w:cstheme="minorHAnsi"/>
          <w:sz w:val="22"/>
          <w:szCs w:val="22"/>
        </w:rPr>
        <w:t xml:space="preserve">  </w:t>
      </w:r>
    </w:p>
    <w:p w14:paraId="21E3393C" w14:textId="62FBE4C2" w:rsidR="0082661E" w:rsidRDefault="0082661E" w:rsidP="00F8400F">
      <w:pPr>
        <w:spacing w:line="360" w:lineRule="auto"/>
        <w:rPr>
          <w:rFonts w:cstheme="minorHAnsi"/>
          <w:sz w:val="22"/>
          <w:szCs w:val="22"/>
        </w:rPr>
      </w:pPr>
    </w:p>
    <w:p w14:paraId="61B85D4D" w14:textId="3B8AD3DF" w:rsidR="00B86F92" w:rsidRDefault="00291F89" w:rsidP="00695ABF">
      <w:pPr>
        <w:spacing w:line="360" w:lineRule="auto"/>
        <w:rPr>
          <w:rFonts w:cstheme="minorHAnsi"/>
          <w:sz w:val="22"/>
          <w:szCs w:val="22"/>
        </w:rPr>
      </w:pPr>
      <w:r>
        <w:rPr>
          <w:rFonts w:cstheme="minorHAnsi"/>
          <w:sz w:val="22"/>
          <w:szCs w:val="22"/>
        </w:rPr>
        <w:t>A</w:t>
      </w:r>
      <w:r w:rsidR="003334E8">
        <w:rPr>
          <w:rFonts w:cstheme="minorHAnsi"/>
          <w:sz w:val="22"/>
          <w:szCs w:val="22"/>
        </w:rPr>
        <w:t>lmost</w:t>
      </w:r>
      <w:r w:rsidR="00384739">
        <w:rPr>
          <w:rFonts w:cstheme="minorHAnsi"/>
          <w:sz w:val="22"/>
          <w:szCs w:val="22"/>
        </w:rPr>
        <w:t xml:space="preserve"> </w:t>
      </w:r>
      <w:r w:rsidR="00E5135C">
        <w:rPr>
          <w:rFonts w:cstheme="minorHAnsi"/>
          <w:sz w:val="22"/>
          <w:szCs w:val="22"/>
        </w:rPr>
        <w:t>100 years</w:t>
      </w:r>
      <w:r w:rsidR="00384739">
        <w:rPr>
          <w:rFonts w:cstheme="minorHAnsi"/>
          <w:sz w:val="22"/>
          <w:szCs w:val="22"/>
        </w:rPr>
        <w:t xml:space="preserve"> later</w:t>
      </w:r>
      <w:r w:rsidR="00E5135C">
        <w:rPr>
          <w:rFonts w:cstheme="minorHAnsi"/>
          <w:sz w:val="22"/>
          <w:szCs w:val="22"/>
        </w:rPr>
        <w:t xml:space="preserve">, </w:t>
      </w:r>
      <w:r w:rsidR="00EC3858">
        <w:rPr>
          <w:rFonts w:cstheme="minorHAnsi"/>
          <w:sz w:val="22"/>
          <w:szCs w:val="22"/>
        </w:rPr>
        <w:t xml:space="preserve">the </w:t>
      </w:r>
      <w:r w:rsidR="00E5135C" w:rsidRPr="00280C4D">
        <w:rPr>
          <w:rFonts w:cstheme="minorHAnsi"/>
          <w:i/>
          <w:iCs/>
          <w:sz w:val="22"/>
          <w:szCs w:val="22"/>
        </w:rPr>
        <w:t>q</w:t>
      </w:r>
      <w:r w:rsidR="002F0AF7" w:rsidRPr="00280C4D">
        <w:rPr>
          <w:rFonts w:cstheme="minorHAnsi"/>
          <w:i/>
          <w:iCs/>
          <w:sz w:val="22"/>
          <w:szCs w:val="22"/>
        </w:rPr>
        <w:t>uality</w:t>
      </w:r>
      <w:r w:rsidR="002F0AF7" w:rsidRPr="00F8400F">
        <w:rPr>
          <w:rFonts w:cstheme="minorHAnsi"/>
          <w:sz w:val="22"/>
          <w:szCs w:val="22"/>
        </w:rPr>
        <w:t xml:space="preserve"> argument</w:t>
      </w:r>
      <w:r w:rsidR="00F97BF0">
        <w:rPr>
          <w:rFonts w:cstheme="minorHAnsi"/>
          <w:sz w:val="22"/>
          <w:szCs w:val="22"/>
        </w:rPr>
        <w:t xml:space="preserve"> for diversity –</w:t>
      </w:r>
      <w:r w:rsidR="00BD340B">
        <w:rPr>
          <w:rFonts w:cstheme="minorHAnsi"/>
          <w:sz w:val="22"/>
          <w:szCs w:val="22"/>
        </w:rPr>
        <w:t xml:space="preserve"> that d</w:t>
      </w:r>
      <w:r w:rsidR="00BD340B" w:rsidRPr="00BD340B">
        <w:rPr>
          <w:rFonts w:cstheme="minorHAnsi"/>
          <w:sz w:val="22"/>
          <w:szCs w:val="22"/>
        </w:rPr>
        <w:t xml:space="preserve">iversity improves the quality of the judicial output, </w:t>
      </w:r>
      <w:r w:rsidR="00C0372D">
        <w:rPr>
          <w:rFonts w:cstheme="minorHAnsi"/>
          <w:sz w:val="22"/>
          <w:szCs w:val="22"/>
        </w:rPr>
        <w:t xml:space="preserve">that </w:t>
      </w:r>
      <w:r w:rsidR="00BD340B" w:rsidRPr="00BD340B">
        <w:rPr>
          <w:rFonts w:cstheme="minorHAnsi"/>
          <w:sz w:val="22"/>
          <w:szCs w:val="22"/>
        </w:rPr>
        <w:t xml:space="preserve">judicial diversity makes for better judging </w:t>
      </w:r>
      <w:r w:rsidR="00F97BF0">
        <w:rPr>
          <w:rFonts w:cstheme="minorHAnsi"/>
          <w:sz w:val="22"/>
          <w:szCs w:val="22"/>
        </w:rPr>
        <w:t>–</w:t>
      </w:r>
      <w:r w:rsidR="006C2520">
        <w:rPr>
          <w:rFonts w:cstheme="minorHAnsi"/>
          <w:sz w:val="22"/>
          <w:szCs w:val="22"/>
        </w:rPr>
        <w:t xml:space="preserve"> </w:t>
      </w:r>
      <w:r w:rsidR="0030064C">
        <w:rPr>
          <w:rFonts w:cstheme="minorHAnsi"/>
          <w:sz w:val="22"/>
          <w:szCs w:val="22"/>
        </w:rPr>
        <w:t>is</w:t>
      </w:r>
      <w:r w:rsidR="00B207BD">
        <w:rPr>
          <w:rFonts w:cstheme="minorHAnsi"/>
          <w:sz w:val="22"/>
          <w:szCs w:val="22"/>
        </w:rPr>
        <w:t xml:space="preserve"> </w:t>
      </w:r>
      <w:r w:rsidR="004633F7">
        <w:rPr>
          <w:rFonts w:cstheme="minorHAnsi"/>
          <w:sz w:val="22"/>
          <w:szCs w:val="22"/>
        </w:rPr>
        <w:t xml:space="preserve">by and large </w:t>
      </w:r>
      <w:r w:rsidR="00DF27C4">
        <w:rPr>
          <w:rFonts w:cstheme="minorHAnsi"/>
          <w:sz w:val="22"/>
          <w:szCs w:val="22"/>
        </w:rPr>
        <w:t>underplayed</w:t>
      </w:r>
      <w:r w:rsidR="00F97BF0">
        <w:rPr>
          <w:rFonts w:cstheme="minorHAnsi"/>
          <w:sz w:val="22"/>
          <w:szCs w:val="22"/>
        </w:rPr>
        <w:t xml:space="preserve"> </w:t>
      </w:r>
      <w:r w:rsidR="004633F7">
        <w:rPr>
          <w:rFonts w:cstheme="minorHAnsi"/>
          <w:sz w:val="22"/>
          <w:szCs w:val="22"/>
        </w:rPr>
        <w:t xml:space="preserve">or indeed simply absent </w:t>
      </w:r>
      <w:r w:rsidR="00F97BF0">
        <w:rPr>
          <w:rFonts w:cstheme="minorHAnsi"/>
          <w:sz w:val="22"/>
          <w:szCs w:val="22"/>
        </w:rPr>
        <w:t>in</w:t>
      </w:r>
      <w:r w:rsidR="006C2520">
        <w:rPr>
          <w:rFonts w:cstheme="minorHAnsi"/>
          <w:sz w:val="22"/>
          <w:szCs w:val="22"/>
        </w:rPr>
        <w:t xml:space="preserve"> </w:t>
      </w:r>
      <w:r w:rsidR="00F97BF0">
        <w:rPr>
          <w:rFonts w:cstheme="minorHAnsi"/>
          <w:sz w:val="22"/>
          <w:szCs w:val="22"/>
        </w:rPr>
        <w:t>political and policy debate</w:t>
      </w:r>
      <w:r w:rsidR="003B1370">
        <w:rPr>
          <w:rFonts w:cstheme="minorHAnsi"/>
          <w:sz w:val="22"/>
          <w:szCs w:val="22"/>
        </w:rPr>
        <w:t>s</w:t>
      </w:r>
      <w:r w:rsidR="00B207BD">
        <w:rPr>
          <w:rFonts w:cstheme="minorHAnsi"/>
          <w:sz w:val="22"/>
          <w:szCs w:val="22"/>
        </w:rPr>
        <w:t>.</w:t>
      </w:r>
      <w:r w:rsidR="005C5D09">
        <w:rPr>
          <w:rStyle w:val="FootnoteReference"/>
          <w:rFonts w:cstheme="minorHAnsi"/>
          <w:sz w:val="22"/>
          <w:szCs w:val="22"/>
        </w:rPr>
        <w:footnoteReference w:id="53"/>
      </w:r>
      <w:r w:rsidR="004B7F4E">
        <w:rPr>
          <w:rFonts w:cstheme="minorHAnsi"/>
          <w:sz w:val="22"/>
          <w:szCs w:val="22"/>
        </w:rPr>
        <w:t xml:space="preserve"> </w:t>
      </w:r>
      <w:r w:rsidR="00D16656">
        <w:rPr>
          <w:rFonts w:cstheme="minorHAnsi"/>
          <w:sz w:val="22"/>
          <w:szCs w:val="22"/>
        </w:rPr>
        <w:t>One reason for this is that b</w:t>
      </w:r>
      <w:r w:rsidR="00F97BF0">
        <w:rPr>
          <w:rFonts w:cstheme="minorHAnsi"/>
          <w:sz w:val="22"/>
          <w:szCs w:val="22"/>
        </w:rPr>
        <w:t xml:space="preserve">y </w:t>
      </w:r>
      <w:r w:rsidR="005C5D09">
        <w:rPr>
          <w:rFonts w:cstheme="minorHAnsi"/>
          <w:sz w:val="22"/>
          <w:szCs w:val="22"/>
        </w:rPr>
        <w:t>the late 1990s</w:t>
      </w:r>
      <w:r w:rsidR="004B7F4E">
        <w:rPr>
          <w:rFonts w:cstheme="minorHAnsi"/>
          <w:sz w:val="22"/>
          <w:szCs w:val="22"/>
        </w:rPr>
        <w:t xml:space="preserve">, </w:t>
      </w:r>
      <w:r w:rsidR="00784101">
        <w:rPr>
          <w:rFonts w:cstheme="minorHAnsi"/>
          <w:sz w:val="22"/>
          <w:szCs w:val="22"/>
        </w:rPr>
        <w:t xml:space="preserve">the </w:t>
      </w:r>
      <w:r w:rsidR="004B7F4E">
        <w:rPr>
          <w:rFonts w:cstheme="minorHAnsi"/>
          <w:sz w:val="22"/>
          <w:szCs w:val="22"/>
        </w:rPr>
        <w:t>quality argument</w:t>
      </w:r>
      <w:r w:rsidR="00784101">
        <w:rPr>
          <w:rFonts w:cstheme="minorHAnsi"/>
          <w:sz w:val="22"/>
          <w:szCs w:val="22"/>
        </w:rPr>
        <w:t xml:space="preserve"> for diversity</w:t>
      </w:r>
      <w:r w:rsidR="00BB2119">
        <w:rPr>
          <w:rFonts w:cstheme="minorHAnsi"/>
          <w:sz w:val="22"/>
          <w:szCs w:val="22"/>
        </w:rPr>
        <w:t xml:space="preserve"> </w:t>
      </w:r>
      <w:r w:rsidR="00784101">
        <w:rPr>
          <w:rFonts w:cstheme="minorHAnsi"/>
          <w:sz w:val="22"/>
          <w:szCs w:val="22"/>
        </w:rPr>
        <w:t xml:space="preserve">– </w:t>
      </w:r>
      <w:r w:rsidR="00F8400F">
        <w:rPr>
          <w:rFonts w:cstheme="minorHAnsi"/>
          <w:sz w:val="22"/>
          <w:szCs w:val="22"/>
        </w:rPr>
        <w:t>re-branded and truncated</w:t>
      </w:r>
      <w:r w:rsidR="00F97BF0">
        <w:rPr>
          <w:rFonts w:cstheme="minorHAnsi"/>
          <w:sz w:val="22"/>
          <w:szCs w:val="22"/>
        </w:rPr>
        <w:t xml:space="preserve"> </w:t>
      </w:r>
      <w:r w:rsidR="004B7F4E">
        <w:rPr>
          <w:rFonts w:cstheme="minorHAnsi"/>
          <w:sz w:val="22"/>
          <w:szCs w:val="22"/>
        </w:rPr>
        <w:t>as</w:t>
      </w:r>
      <w:r w:rsidR="00F8400F">
        <w:rPr>
          <w:rFonts w:cstheme="minorHAnsi"/>
          <w:sz w:val="22"/>
          <w:szCs w:val="22"/>
        </w:rPr>
        <w:t xml:space="preserve"> </w:t>
      </w:r>
      <w:r w:rsidR="00784101">
        <w:rPr>
          <w:rFonts w:cstheme="minorHAnsi"/>
          <w:sz w:val="22"/>
          <w:szCs w:val="22"/>
        </w:rPr>
        <w:t xml:space="preserve">an argument grounded </w:t>
      </w:r>
      <w:r w:rsidR="004633F7">
        <w:rPr>
          <w:rFonts w:cstheme="minorHAnsi"/>
          <w:sz w:val="22"/>
          <w:szCs w:val="22"/>
        </w:rPr>
        <w:t xml:space="preserve">in </w:t>
      </w:r>
      <w:r w:rsidR="00F8400F">
        <w:rPr>
          <w:rFonts w:cstheme="minorHAnsi"/>
          <w:sz w:val="22"/>
          <w:szCs w:val="22"/>
        </w:rPr>
        <w:t>‘difference’</w:t>
      </w:r>
      <w:r w:rsidR="00595CB5">
        <w:rPr>
          <w:rFonts w:cstheme="minorHAnsi"/>
          <w:sz w:val="22"/>
          <w:szCs w:val="22"/>
        </w:rPr>
        <w:t>–</w:t>
      </w:r>
      <w:r w:rsidR="00784101">
        <w:rPr>
          <w:rFonts w:cstheme="minorHAnsi"/>
          <w:sz w:val="22"/>
          <w:szCs w:val="22"/>
        </w:rPr>
        <w:t xml:space="preserve"> </w:t>
      </w:r>
      <w:r w:rsidR="00F8400F">
        <w:rPr>
          <w:rFonts w:cstheme="minorHAnsi"/>
          <w:sz w:val="22"/>
          <w:szCs w:val="22"/>
        </w:rPr>
        <w:t xml:space="preserve">had </w:t>
      </w:r>
      <w:r w:rsidR="00D54265">
        <w:rPr>
          <w:rFonts w:cstheme="minorHAnsi"/>
          <w:sz w:val="22"/>
          <w:szCs w:val="22"/>
        </w:rPr>
        <w:t xml:space="preserve">begun to </w:t>
      </w:r>
      <w:r w:rsidR="00F8400F">
        <w:rPr>
          <w:rFonts w:cstheme="minorHAnsi"/>
          <w:sz w:val="22"/>
          <w:szCs w:val="22"/>
        </w:rPr>
        <w:t>fall out of favour.</w:t>
      </w:r>
      <w:r w:rsidR="00280C4D">
        <w:rPr>
          <w:rStyle w:val="FootnoteReference"/>
          <w:rFonts w:cstheme="minorHAnsi"/>
          <w:sz w:val="22"/>
          <w:szCs w:val="22"/>
        </w:rPr>
        <w:footnoteReference w:id="54"/>
      </w:r>
      <w:r w:rsidR="00F8400F">
        <w:rPr>
          <w:rFonts w:cstheme="minorHAnsi"/>
          <w:sz w:val="22"/>
          <w:szCs w:val="22"/>
        </w:rPr>
        <w:t xml:space="preserve"> </w:t>
      </w:r>
      <w:r w:rsidR="00E5135C">
        <w:rPr>
          <w:rFonts w:cstheme="minorHAnsi"/>
          <w:sz w:val="22"/>
          <w:szCs w:val="22"/>
        </w:rPr>
        <w:t>The shift from</w:t>
      </w:r>
      <w:r w:rsidR="00F8400F" w:rsidRPr="00F8400F">
        <w:rPr>
          <w:rFonts w:cstheme="minorHAnsi"/>
          <w:sz w:val="22"/>
          <w:szCs w:val="22"/>
        </w:rPr>
        <w:t xml:space="preserve"> ‘quality’ to ‘difference’ </w:t>
      </w:r>
      <w:r w:rsidR="003E0C3C">
        <w:rPr>
          <w:rFonts w:cstheme="minorHAnsi"/>
          <w:sz w:val="22"/>
          <w:szCs w:val="22"/>
        </w:rPr>
        <w:t>was</w:t>
      </w:r>
      <w:r w:rsidR="00F8400F" w:rsidRPr="00F8400F">
        <w:rPr>
          <w:rFonts w:cstheme="minorHAnsi"/>
          <w:sz w:val="22"/>
          <w:szCs w:val="22"/>
        </w:rPr>
        <w:t xml:space="preserve"> more than semantic. </w:t>
      </w:r>
      <w:r w:rsidR="004B7F4E">
        <w:rPr>
          <w:rFonts w:cstheme="minorHAnsi"/>
          <w:sz w:val="22"/>
          <w:szCs w:val="22"/>
        </w:rPr>
        <w:t xml:space="preserve">In the </w:t>
      </w:r>
      <w:r w:rsidR="00D54265">
        <w:rPr>
          <w:rFonts w:cstheme="minorHAnsi"/>
          <w:sz w:val="22"/>
          <w:szCs w:val="22"/>
        </w:rPr>
        <w:t>process t</w:t>
      </w:r>
      <w:r w:rsidR="00F8400F">
        <w:rPr>
          <w:rFonts w:cstheme="minorHAnsi"/>
          <w:sz w:val="22"/>
          <w:szCs w:val="22"/>
        </w:rPr>
        <w:t>he argument’s</w:t>
      </w:r>
      <w:r w:rsidR="00F8400F" w:rsidRPr="00F8400F">
        <w:rPr>
          <w:rFonts w:cstheme="minorHAnsi"/>
          <w:sz w:val="22"/>
          <w:szCs w:val="22"/>
        </w:rPr>
        <w:t xml:space="preserve"> vital second stage (that women judges’ distinctive experiences and insights </w:t>
      </w:r>
      <w:r w:rsidR="00F8400F" w:rsidRPr="00D54265">
        <w:rPr>
          <w:rFonts w:cstheme="minorHAnsi"/>
          <w:i/>
          <w:iCs/>
          <w:sz w:val="22"/>
          <w:szCs w:val="22"/>
        </w:rPr>
        <w:t>improve</w:t>
      </w:r>
      <w:r w:rsidR="00F8400F" w:rsidRPr="00F8400F">
        <w:rPr>
          <w:rFonts w:cstheme="minorHAnsi"/>
          <w:sz w:val="22"/>
          <w:szCs w:val="22"/>
        </w:rPr>
        <w:t xml:space="preserve"> the quality of the judicial output) </w:t>
      </w:r>
      <w:r w:rsidR="00D54265">
        <w:rPr>
          <w:rFonts w:cstheme="minorHAnsi"/>
          <w:sz w:val="22"/>
          <w:szCs w:val="22"/>
        </w:rPr>
        <w:t>gave way</w:t>
      </w:r>
      <w:r w:rsidR="00F8400F" w:rsidRPr="00F8400F">
        <w:rPr>
          <w:rFonts w:cstheme="minorHAnsi"/>
          <w:sz w:val="22"/>
          <w:szCs w:val="22"/>
        </w:rPr>
        <w:t xml:space="preserve"> to an almost exclusive focus on the existence </w:t>
      </w:r>
      <w:r w:rsidR="00E5135C">
        <w:rPr>
          <w:rFonts w:cstheme="minorHAnsi"/>
          <w:sz w:val="22"/>
          <w:szCs w:val="22"/>
        </w:rPr>
        <w:t xml:space="preserve">and </w:t>
      </w:r>
      <w:r w:rsidR="00A7314B">
        <w:rPr>
          <w:rFonts w:cstheme="minorHAnsi"/>
          <w:sz w:val="22"/>
          <w:szCs w:val="22"/>
        </w:rPr>
        <w:t>composition</w:t>
      </w:r>
      <w:r w:rsidR="00F8400F" w:rsidRPr="00F8400F">
        <w:rPr>
          <w:rFonts w:cstheme="minorHAnsi"/>
          <w:sz w:val="22"/>
          <w:szCs w:val="22"/>
        </w:rPr>
        <w:t xml:space="preserve"> of women judges’ ‘difference’.</w:t>
      </w:r>
      <w:r w:rsidR="00EB7AD4">
        <w:rPr>
          <w:rStyle w:val="FootnoteReference"/>
          <w:rFonts w:cstheme="minorHAnsi"/>
          <w:sz w:val="22"/>
          <w:szCs w:val="22"/>
        </w:rPr>
        <w:footnoteReference w:id="55"/>
      </w:r>
      <w:r w:rsidR="00F8400F">
        <w:rPr>
          <w:rFonts w:cstheme="minorHAnsi"/>
          <w:sz w:val="22"/>
          <w:szCs w:val="22"/>
        </w:rPr>
        <w:t xml:space="preserve"> A focus</w:t>
      </w:r>
      <w:r w:rsidR="00D54265">
        <w:rPr>
          <w:rFonts w:cstheme="minorHAnsi"/>
          <w:sz w:val="22"/>
          <w:szCs w:val="22"/>
        </w:rPr>
        <w:t xml:space="preserve"> that</w:t>
      </w:r>
      <w:r w:rsidR="003E0741">
        <w:rPr>
          <w:rFonts w:cstheme="minorHAnsi"/>
          <w:sz w:val="22"/>
          <w:szCs w:val="22"/>
        </w:rPr>
        <w:t xml:space="preserve"> </w:t>
      </w:r>
      <w:r w:rsidR="00784101">
        <w:rPr>
          <w:rFonts w:cstheme="minorHAnsi"/>
          <w:sz w:val="22"/>
          <w:szCs w:val="22"/>
        </w:rPr>
        <w:t>in 1991 Sandra Day O’Connor, then</w:t>
      </w:r>
      <w:r w:rsidR="00BB2119">
        <w:rPr>
          <w:rFonts w:cstheme="minorHAnsi"/>
          <w:sz w:val="22"/>
          <w:szCs w:val="22"/>
        </w:rPr>
        <w:t xml:space="preserve"> </w:t>
      </w:r>
      <w:r w:rsidR="00784101">
        <w:rPr>
          <w:rFonts w:cstheme="minorHAnsi"/>
          <w:sz w:val="22"/>
          <w:szCs w:val="22"/>
        </w:rPr>
        <w:t xml:space="preserve">a </w:t>
      </w:r>
      <w:r w:rsidR="009D320D">
        <w:rPr>
          <w:rFonts w:cstheme="minorHAnsi"/>
          <w:sz w:val="22"/>
          <w:szCs w:val="22"/>
        </w:rPr>
        <w:t>US Supreme Court Justice</w:t>
      </w:r>
      <w:r w:rsidR="00784101">
        <w:rPr>
          <w:rFonts w:cstheme="minorHAnsi"/>
          <w:sz w:val="22"/>
          <w:szCs w:val="22"/>
        </w:rPr>
        <w:t>,</w:t>
      </w:r>
      <w:r w:rsidR="009D320D">
        <w:rPr>
          <w:rFonts w:cstheme="minorHAnsi"/>
          <w:sz w:val="22"/>
          <w:szCs w:val="22"/>
        </w:rPr>
        <w:t xml:space="preserve"> </w:t>
      </w:r>
      <w:r w:rsidR="003E0741">
        <w:rPr>
          <w:rFonts w:cstheme="minorHAnsi"/>
          <w:sz w:val="22"/>
          <w:szCs w:val="22"/>
        </w:rPr>
        <w:t>rightly rejected as ‘dangerous and answerable’</w:t>
      </w:r>
      <w:r w:rsidR="009D320D">
        <w:rPr>
          <w:rFonts w:cstheme="minorHAnsi"/>
          <w:sz w:val="22"/>
          <w:szCs w:val="22"/>
        </w:rPr>
        <w:t>.</w:t>
      </w:r>
      <w:r w:rsidR="005C5D09">
        <w:rPr>
          <w:rStyle w:val="FootnoteReference"/>
          <w:rFonts w:cstheme="minorHAnsi"/>
          <w:sz w:val="22"/>
          <w:szCs w:val="22"/>
        </w:rPr>
        <w:footnoteReference w:id="56"/>
      </w:r>
      <w:r w:rsidR="009D320D">
        <w:rPr>
          <w:rFonts w:cstheme="minorHAnsi"/>
          <w:sz w:val="22"/>
          <w:szCs w:val="22"/>
        </w:rPr>
        <w:t xml:space="preserve"> </w:t>
      </w:r>
      <w:r w:rsidR="003334E8">
        <w:rPr>
          <w:rFonts w:cstheme="minorHAnsi"/>
          <w:sz w:val="22"/>
          <w:szCs w:val="22"/>
        </w:rPr>
        <w:t>In 2001</w:t>
      </w:r>
      <w:r w:rsidR="00784101">
        <w:rPr>
          <w:rFonts w:cstheme="minorHAnsi"/>
          <w:sz w:val="22"/>
          <w:szCs w:val="22"/>
        </w:rPr>
        <w:t xml:space="preserve"> </w:t>
      </w:r>
      <w:r w:rsidR="003E0741">
        <w:rPr>
          <w:rFonts w:cstheme="minorHAnsi"/>
          <w:sz w:val="22"/>
          <w:szCs w:val="22"/>
        </w:rPr>
        <w:t>Lady Hale</w:t>
      </w:r>
      <w:r w:rsidR="003334E8">
        <w:rPr>
          <w:rFonts w:cstheme="minorHAnsi"/>
          <w:sz w:val="22"/>
          <w:szCs w:val="22"/>
        </w:rPr>
        <w:t>,</w:t>
      </w:r>
      <w:r w:rsidR="00784101">
        <w:rPr>
          <w:rFonts w:cstheme="minorHAnsi"/>
          <w:sz w:val="22"/>
          <w:szCs w:val="22"/>
        </w:rPr>
        <w:t xml:space="preserve"> in a lecture asking ‘why should we want more women judges’</w:t>
      </w:r>
      <w:r w:rsidR="003334E8">
        <w:rPr>
          <w:rFonts w:cstheme="minorHAnsi"/>
          <w:sz w:val="22"/>
          <w:szCs w:val="22"/>
        </w:rPr>
        <w:t>,</w:t>
      </w:r>
      <w:r w:rsidR="00784101">
        <w:rPr>
          <w:rFonts w:cstheme="minorHAnsi"/>
          <w:sz w:val="22"/>
          <w:szCs w:val="22"/>
        </w:rPr>
        <w:t xml:space="preserve"> </w:t>
      </w:r>
      <w:r w:rsidR="003334E8">
        <w:rPr>
          <w:rFonts w:cstheme="minorHAnsi"/>
          <w:sz w:val="22"/>
          <w:szCs w:val="22"/>
        </w:rPr>
        <w:t>declared herself to be</w:t>
      </w:r>
      <w:r w:rsidR="009D320D">
        <w:rPr>
          <w:rFonts w:cstheme="minorHAnsi"/>
          <w:sz w:val="22"/>
          <w:szCs w:val="22"/>
        </w:rPr>
        <w:t xml:space="preserve"> </w:t>
      </w:r>
      <w:r w:rsidR="003E0741">
        <w:rPr>
          <w:rFonts w:cstheme="minorHAnsi"/>
          <w:sz w:val="22"/>
          <w:szCs w:val="22"/>
        </w:rPr>
        <w:t>‘</w:t>
      </w:r>
      <w:r w:rsidR="00695ABF" w:rsidRPr="00695ABF">
        <w:rPr>
          <w:rFonts w:cstheme="minorHAnsi"/>
          <w:sz w:val="22"/>
          <w:szCs w:val="22"/>
        </w:rPr>
        <w:t xml:space="preserve">a little worried and more than a little sceptical about arguments based upon </w:t>
      </w:r>
      <w:r w:rsidR="00695ABF" w:rsidRPr="00695ABF">
        <w:rPr>
          <w:rFonts w:cstheme="minorHAnsi"/>
          <w:sz w:val="22"/>
          <w:szCs w:val="22"/>
        </w:rPr>
        <w:lastRenderedPageBreak/>
        <w:t>the individual</w:t>
      </w:r>
      <w:r w:rsidR="00D16656">
        <w:rPr>
          <w:rFonts w:cstheme="minorHAnsi"/>
          <w:sz w:val="22"/>
          <w:szCs w:val="22"/>
        </w:rPr>
        <w:t xml:space="preserve"> </w:t>
      </w:r>
      <w:r w:rsidR="00695ABF" w:rsidRPr="00695ABF">
        <w:rPr>
          <w:rFonts w:cstheme="minorHAnsi"/>
          <w:sz w:val="22"/>
          <w:szCs w:val="22"/>
        </w:rPr>
        <w:t>judge's ability or even willingness to make a difference, even a difference that I would like to see</w:t>
      </w:r>
      <w:r w:rsidR="00695ABF">
        <w:rPr>
          <w:rFonts w:cstheme="minorHAnsi"/>
          <w:sz w:val="22"/>
          <w:szCs w:val="22"/>
        </w:rPr>
        <w:t xml:space="preserve"> </w:t>
      </w:r>
      <w:r w:rsidR="00695ABF" w:rsidRPr="00695ABF">
        <w:rPr>
          <w:rFonts w:cstheme="minorHAnsi"/>
          <w:sz w:val="22"/>
          <w:szCs w:val="22"/>
        </w:rPr>
        <w:t>made</w:t>
      </w:r>
      <w:r w:rsidR="00695ABF">
        <w:rPr>
          <w:rFonts w:cstheme="minorHAnsi"/>
          <w:sz w:val="22"/>
          <w:szCs w:val="22"/>
        </w:rPr>
        <w:t>’, arguing that the expectation put ‘</w:t>
      </w:r>
      <w:r w:rsidR="00695ABF" w:rsidRPr="00695ABF">
        <w:rPr>
          <w:rFonts w:cstheme="minorHAnsi"/>
          <w:sz w:val="22"/>
          <w:szCs w:val="22"/>
        </w:rPr>
        <w:t>too much of a burden upon the few women judges</w:t>
      </w:r>
      <w:r w:rsidR="00695ABF">
        <w:rPr>
          <w:rFonts w:cstheme="minorHAnsi"/>
          <w:sz w:val="22"/>
          <w:szCs w:val="22"/>
        </w:rPr>
        <w:t>’.</w:t>
      </w:r>
      <w:r w:rsidR="00695ABF">
        <w:rPr>
          <w:rStyle w:val="FootnoteReference"/>
          <w:rFonts w:cstheme="minorHAnsi"/>
          <w:sz w:val="22"/>
          <w:szCs w:val="22"/>
        </w:rPr>
        <w:footnoteReference w:id="57"/>
      </w:r>
      <w:r w:rsidR="00695ABF" w:rsidRPr="00695ABF">
        <w:rPr>
          <w:rFonts w:cstheme="minorHAnsi"/>
          <w:sz w:val="22"/>
          <w:szCs w:val="22"/>
        </w:rPr>
        <w:t xml:space="preserve"> </w:t>
      </w:r>
      <w:r w:rsidR="005C5D09" w:rsidRPr="005C5D09">
        <w:rPr>
          <w:rFonts w:cstheme="minorHAnsi"/>
          <w:sz w:val="22"/>
          <w:szCs w:val="22"/>
        </w:rPr>
        <w:t>Devoid of its ‘quality’ roots</w:t>
      </w:r>
      <w:r w:rsidR="005C5D09">
        <w:rPr>
          <w:rFonts w:cstheme="minorHAnsi"/>
          <w:sz w:val="22"/>
          <w:szCs w:val="22"/>
        </w:rPr>
        <w:t xml:space="preserve">, </w:t>
      </w:r>
      <w:r w:rsidR="005C5D09" w:rsidRPr="005C5D09">
        <w:rPr>
          <w:rFonts w:cstheme="minorHAnsi"/>
          <w:sz w:val="22"/>
          <w:szCs w:val="22"/>
        </w:rPr>
        <w:t>the difference argument had become</w:t>
      </w:r>
      <w:r w:rsidR="00C0372D">
        <w:rPr>
          <w:rFonts w:cstheme="minorHAnsi"/>
          <w:sz w:val="22"/>
          <w:szCs w:val="22"/>
        </w:rPr>
        <w:t>,</w:t>
      </w:r>
      <w:r w:rsidR="00F8400F">
        <w:rPr>
          <w:rFonts w:cstheme="minorHAnsi"/>
          <w:sz w:val="22"/>
          <w:szCs w:val="22"/>
        </w:rPr>
        <w:t xml:space="preserve"> Kate </w:t>
      </w:r>
      <w:proofErr w:type="spellStart"/>
      <w:r w:rsidR="00F8400F">
        <w:rPr>
          <w:rFonts w:cstheme="minorHAnsi"/>
          <w:sz w:val="22"/>
          <w:szCs w:val="22"/>
        </w:rPr>
        <w:t>Malleson</w:t>
      </w:r>
      <w:proofErr w:type="spellEnd"/>
      <w:r w:rsidR="003334E8">
        <w:rPr>
          <w:rFonts w:cstheme="minorHAnsi"/>
          <w:sz w:val="22"/>
          <w:szCs w:val="22"/>
        </w:rPr>
        <w:t xml:space="preserve"> argued</w:t>
      </w:r>
      <w:r w:rsidR="00D54265">
        <w:rPr>
          <w:rFonts w:cstheme="minorHAnsi"/>
          <w:sz w:val="22"/>
          <w:szCs w:val="22"/>
        </w:rPr>
        <w:t xml:space="preserve">, </w:t>
      </w:r>
      <w:r w:rsidR="00F8400F" w:rsidRPr="00F8400F">
        <w:rPr>
          <w:rFonts w:cstheme="minorHAnsi"/>
          <w:sz w:val="22"/>
          <w:szCs w:val="22"/>
        </w:rPr>
        <w:t>‘theoretically weak, empirically questionable and strategically dangerous’.</w:t>
      </w:r>
      <w:r w:rsidR="005C5D09">
        <w:rPr>
          <w:rStyle w:val="FootnoteReference"/>
          <w:rFonts w:cstheme="minorHAnsi"/>
          <w:sz w:val="22"/>
          <w:szCs w:val="22"/>
        </w:rPr>
        <w:footnoteReference w:id="58"/>
      </w:r>
      <w:r w:rsidR="00F8400F">
        <w:rPr>
          <w:rFonts w:cstheme="minorHAnsi"/>
          <w:sz w:val="22"/>
          <w:szCs w:val="22"/>
        </w:rPr>
        <w:t xml:space="preserve"> </w:t>
      </w:r>
      <w:r w:rsidR="00B86F92">
        <w:rPr>
          <w:rFonts w:cstheme="minorHAnsi"/>
          <w:sz w:val="22"/>
          <w:szCs w:val="22"/>
        </w:rPr>
        <w:t>And</w:t>
      </w:r>
      <w:r w:rsidR="00784101">
        <w:rPr>
          <w:rFonts w:cstheme="minorHAnsi"/>
          <w:sz w:val="22"/>
          <w:szCs w:val="22"/>
        </w:rPr>
        <w:t xml:space="preserve"> </w:t>
      </w:r>
      <w:r w:rsidR="003334E8">
        <w:rPr>
          <w:rFonts w:cstheme="minorHAnsi"/>
          <w:sz w:val="22"/>
          <w:szCs w:val="22"/>
        </w:rPr>
        <w:t xml:space="preserve">she </w:t>
      </w:r>
      <w:r w:rsidR="00B86F92">
        <w:rPr>
          <w:rFonts w:cstheme="minorHAnsi"/>
          <w:sz w:val="22"/>
          <w:szCs w:val="22"/>
        </w:rPr>
        <w:t>was</w:t>
      </w:r>
      <w:r w:rsidR="00F8400F">
        <w:rPr>
          <w:rFonts w:cstheme="minorHAnsi"/>
          <w:sz w:val="22"/>
          <w:szCs w:val="22"/>
        </w:rPr>
        <w:t xml:space="preserve"> right</w:t>
      </w:r>
      <w:r w:rsidR="00D54265">
        <w:rPr>
          <w:rFonts w:cstheme="minorHAnsi"/>
          <w:sz w:val="22"/>
          <w:szCs w:val="22"/>
        </w:rPr>
        <w:t>: d</w:t>
      </w:r>
      <w:r w:rsidR="00B86F92">
        <w:rPr>
          <w:rFonts w:cstheme="minorHAnsi"/>
          <w:sz w:val="22"/>
          <w:szCs w:val="22"/>
        </w:rPr>
        <w:t xml:space="preserve">ifference won’t do. </w:t>
      </w:r>
    </w:p>
    <w:p w14:paraId="4DD2FA53" w14:textId="77777777" w:rsidR="00B86F92" w:rsidRPr="00695ABF" w:rsidRDefault="00B86F92" w:rsidP="00F770DA">
      <w:pPr>
        <w:spacing w:line="360" w:lineRule="auto"/>
        <w:rPr>
          <w:rFonts w:cstheme="minorHAnsi"/>
          <w:sz w:val="22"/>
          <w:szCs w:val="22"/>
        </w:rPr>
      </w:pPr>
    </w:p>
    <w:p w14:paraId="73CD2749" w14:textId="7CC495FA" w:rsidR="00EB7AD4" w:rsidRPr="00695ABF" w:rsidRDefault="00B86F92" w:rsidP="00F770DA">
      <w:pPr>
        <w:spacing w:line="360" w:lineRule="auto"/>
        <w:rPr>
          <w:rFonts w:cstheme="minorHAnsi"/>
          <w:sz w:val="22"/>
          <w:szCs w:val="22"/>
        </w:rPr>
      </w:pPr>
      <w:r w:rsidRPr="00695ABF">
        <w:rPr>
          <w:rFonts w:cstheme="minorHAnsi"/>
          <w:sz w:val="22"/>
          <w:szCs w:val="22"/>
        </w:rPr>
        <w:t>But quality</w:t>
      </w:r>
      <w:r w:rsidR="0002152A" w:rsidRPr="00695ABF">
        <w:rPr>
          <w:rFonts w:cstheme="minorHAnsi"/>
          <w:sz w:val="22"/>
          <w:szCs w:val="22"/>
        </w:rPr>
        <w:t xml:space="preserve"> </w:t>
      </w:r>
      <w:r w:rsidR="00787483" w:rsidRPr="00695ABF">
        <w:rPr>
          <w:rFonts w:cstheme="minorHAnsi"/>
          <w:sz w:val="22"/>
          <w:szCs w:val="22"/>
        </w:rPr>
        <w:t>does.</w:t>
      </w:r>
      <w:r w:rsidR="005C5D09" w:rsidRPr="00695ABF">
        <w:rPr>
          <w:rFonts w:cstheme="minorHAnsi"/>
          <w:sz w:val="22"/>
          <w:szCs w:val="22"/>
        </w:rPr>
        <w:t xml:space="preserve"> </w:t>
      </w:r>
      <w:r w:rsidR="00D55C23" w:rsidRPr="00695ABF">
        <w:rPr>
          <w:rFonts w:cstheme="minorHAnsi"/>
          <w:color w:val="292526"/>
          <w:sz w:val="22"/>
          <w:szCs w:val="22"/>
        </w:rPr>
        <w:t xml:space="preserve">Unlike difference-based arguments which stall at the point of identifying difference, </w:t>
      </w:r>
      <w:r w:rsidR="003E0741" w:rsidRPr="00695ABF">
        <w:rPr>
          <w:rFonts w:cstheme="minorHAnsi"/>
          <w:sz w:val="22"/>
          <w:szCs w:val="22"/>
        </w:rPr>
        <w:t>t</w:t>
      </w:r>
      <w:r w:rsidRPr="00695ABF">
        <w:rPr>
          <w:rFonts w:cstheme="minorHAnsi"/>
          <w:sz w:val="22"/>
          <w:szCs w:val="22"/>
        </w:rPr>
        <w:t>he quality argument</w:t>
      </w:r>
      <w:r w:rsidR="002A4CA3">
        <w:rPr>
          <w:rFonts w:cstheme="minorHAnsi"/>
          <w:sz w:val="22"/>
          <w:szCs w:val="22"/>
        </w:rPr>
        <w:t xml:space="preserve"> for diversity</w:t>
      </w:r>
      <w:r w:rsidRPr="00695ABF">
        <w:rPr>
          <w:rFonts w:cstheme="minorHAnsi"/>
          <w:sz w:val="22"/>
          <w:szCs w:val="22"/>
        </w:rPr>
        <w:t xml:space="preserve"> impels change.</w:t>
      </w:r>
      <w:r w:rsidR="00D55C23" w:rsidRPr="00695ABF">
        <w:rPr>
          <w:rFonts w:cstheme="minorHAnsi"/>
          <w:sz w:val="22"/>
          <w:szCs w:val="22"/>
        </w:rPr>
        <w:t xml:space="preserve"> </w:t>
      </w:r>
      <w:r w:rsidR="00C54B8E" w:rsidRPr="00695ABF">
        <w:rPr>
          <w:rFonts w:cstheme="minorHAnsi"/>
          <w:sz w:val="22"/>
          <w:szCs w:val="22"/>
        </w:rPr>
        <w:t>It demands something is done. It requires the judiciary to be diverse. Once we accept who the judge is matters – and this is relatively uncontroversial –</w:t>
      </w:r>
      <w:r w:rsidR="00EC3858" w:rsidRPr="00695ABF">
        <w:rPr>
          <w:rFonts w:cstheme="minorHAnsi"/>
          <w:sz w:val="22"/>
          <w:szCs w:val="22"/>
        </w:rPr>
        <w:t xml:space="preserve"> then</w:t>
      </w:r>
      <w:r w:rsidR="00C54B8E" w:rsidRPr="00695ABF">
        <w:rPr>
          <w:rFonts w:cstheme="minorHAnsi"/>
          <w:sz w:val="22"/>
          <w:szCs w:val="22"/>
        </w:rPr>
        <w:t xml:space="preserve"> it matters who our judges are.</w:t>
      </w:r>
      <w:r w:rsidR="00EB7AD4" w:rsidRPr="00695ABF">
        <w:rPr>
          <w:rFonts w:cstheme="minorHAnsi"/>
          <w:sz w:val="22"/>
          <w:szCs w:val="22"/>
        </w:rPr>
        <w:t xml:space="preserve"> Lady Hale, </w:t>
      </w:r>
      <w:r w:rsidR="00EC3858" w:rsidRPr="00695ABF">
        <w:rPr>
          <w:rFonts w:cstheme="minorHAnsi"/>
          <w:sz w:val="22"/>
          <w:szCs w:val="22"/>
        </w:rPr>
        <w:t>speaking</w:t>
      </w:r>
      <w:r w:rsidR="00EB7AD4" w:rsidRPr="00695ABF">
        <w:rPr>
          <w:rFonts w:cstheme="minorHAnsi"/>
          <w:sz w:val="22"/>
          <w:szCs w:val="22"/>
        </w:rPr>
        <w:t xml:space="preserve"> in </w:t>
      </w:r>
      <w:r w:rsidR="00C54B8E" w:rsidRPr="00695ABF">
        <w:rPr>
          <w:rFonts w:cstheme="minorHAnsi"/>
          <w:sz w:val="22"/>
          <w:szCs w:val="22"/>
        </w:rPr>
        <w:t>2014</w:t>
      </w:r>
      <w:r w:rsidR="00953F60" w:rsidRPr="00695ABF">
        <w:rPr>
          <w:rFonts w:cstheme="minorHAnsi"/>
          <w:sz w:val="22"/>
          <w:szCs w:val="22"/>
        </w:rPr>
        <w:t xml:space="preserve"> </w:t>
      </w:r>
      <w:r w:rsidR="003E0741" w:rsidRPr="00695ABF">
        <w:rPr>
          <w:rFonts w:cstheme="minorHAnsi"/>
          <w:sz w:val="22"/>
          <w:szCs w:val="22"/>
        </w:rPr>
        <w:t>agreed</w:t>
      </w:r>
      <w:r w:rsidR="00A7314B" w:rsidRPr="00695ABF">
        <w:rPr>
          <w:rFonts w:cstheme="minorHAnsi"/>
          <w:sz w:val="22"/>
          <w:szCs w:val="22"/>
        </w:rPr>
        <w:t>. M</w:t>
      </w:r>
      <w:r w:rsidR="00C54B8E" w:rsidRPr="00695ABF">
        <w:rPr>
          <w:rFonts w:cstheme="minorHAnsi"/>
          <w:sz w:val="22"/>
          <w:szCs w:val="22"/>
        </w:rPr>
        <w:t>aking what she calls ‘the business case for diversity’ she continued</w:t>
      </w:r>
      <w:r w:rsidR="00EC3858" w:rsidRPr="00695ABF">
        <w:rPr>
          <w:rFonts w:cstheme="minorHAnsi"/>
          <w:sz w:val="22"/>
          <w:szCs w:val="22"/>
        </w:rPr>
        <w:t>:</w:t>
      </w:r>
    </w:p>
    <w:p w14:paraId="66F3F9CE" w14:textId="11299EBC" w:rsidR="00EC3858" w:rsidRPr="00695ABF" w:rsidRDefault="00BD340B" w:rsidP="002E0BDE">
      <w:pPr>
        <w:spacing w:line="360" w:lineRule="auto"/>
        <w:ind w:left="720"/>
        <w:rPr>
          <w:rFonts w:cstheme="minorHAnsi"/>
          <w:sz w:val="22"/>
          <w:szCs w:val="22"/>
        </w:rPr>
      </w:pPr>
      <w:r w:rsidRPr="00695ABF">
        <w:rPr>
          <w:rFonts w:cstheme="minorHAnsi"/>
          <w:sz w:val="22"/>
          <w:szCs w:val="22"/>
        </w:rPr>
        <w:t>diverse courts are better courts. I too used to be sceptical about the argument that women judges were bound to make a difference … but I have come to agree with those great women judges who think that sometimes, on occasions, we may make a difference</w:t>
      </w:r>
      <w:r w:rsidR="00EB7AD4" w:rsidRPr="00695ABF">
        <w:rPr>
          <w:rFonts w:cstheme="minorHAnsi"/>
          <w:sz w:val="22"/>
          <w:szCs w:val="22"/>
        </w:rPr>
        <w:t>.</w:t>
      </w:r>
      <w:r w:rsidR="00EB7AD4" w:rsidRPr="00695ABF">
        <w:rPr>
          <w:rStyle w:val="FootnoteReference"/>
          <w:rFonts w:cstheme="minorHAnsi"/>
          <w:sz w:val="22"/>
          <w:szCs w:val="22"/>
        </w:rPr>
        <w:footnoteReference w:id="59"/>
      </w:r>
    </w:p>
    <w:p w14:paraId="0F30BE84" w14:textId="5987DFAC" w:rsidR="00695ABF" w:rsidRPr="00695ABF" w:rsidRDefault="00EC3858" w:rsidP="002E0BDE">
      <w:pPr>
        <w:adjustRightInd w:val="0"/>
        <w:snapToGrid w:val="0"/>
        <w:spacing w:line="360" w:lineRule="auto"/>
        <w:rPr>
          <w:rFonts w:cstheme="minorHAnsi"/>
          <w:sz w:val="22"/>
          <w:szCs w:val="22"/>
        </w:rPr>
      </w:pPr>
      <w:r w:rsidRPr="00695ABF">
        <w:rPr>
          <w:rFonts w:cstheme="minorHAnsi"/>
          <w:sz w:val="22"/>
          <w:szCs w:val="22"/>
        </w:rPr>
        <w:t>In fac</w:t>
      </w:r>
      <w:r w:rsidR="00E8681A" w:rsidRPr="00695ABF">
        <w:rPr>
          <w:rFonts w:cstheme="minorHAnsi"/>
          <w:sz w:val="22"/>
          <w:szCs w:val="22"/>
        </w:rPr>
        <w:t>t,</w:t>
      </w:r>
      <w:r w:rsidR="00EB2022">
        <w:rPr>
          <w:rFonts w:cstheme="minorHAnsi"/>
          <w:sz w:val="22"/>
          <w:szCs w:val="22"/>
        </w:rPr>
        <w:t xml:space="preserve"> despite </w:t>
      </w:r>
      <w:r w:rsidR="002A4CA3">
        <w:rPr>
          <w:rFonts w:cstheme="minorHAnsi"/>
          <w:sz w:val="22"/>
          <w:szCs w:val="22"/>
        </w:rPr>
        <w:t xml:space="preserve">Lady </w:t>
      </w:r>
      <w:r w:rsidR="00EB2022">
        <w:rPr>
          <w:rFonts w:cstheme="minorHAnsi"/>
          <w:sz w:val="22"/>
          <w:szCs w:val="22"/>
        </w:rPr>
        <w:t>Hale’s</w:t>
      </w:r>
      <w:r w:rsidR="002A4CA3">
        <w:rPr>
          <w:rFonts w:cstheme="minorHAnsi"/>
          <w:sz w:val="22"/>
          <w:szCs w:val="22"/>
        </w:rPr>
        <w:t xml:space="preserve"> </w:t>
      </w:r>
      <w:r w:rsidR="00EB2022">
        <w:rPr>
          <w:rFonts w:cstheme="minorHAnsi"/>
          <w:sz w:val="22"/>
          <w:szCs w:val="22"/>
        </w:rPr>
        <w:t xml:space="preserve">understandable resistance to the suggestion </w:t>
      </w:r>
      <w:r w:rsidR="00B23BCF">
        <w:rPr>
          <w:rFonts w:cstheme="minorHAnsi"/>
          <w:sz w:val="22"/>
          <w:szCs w:val="22"/>
        </w:rPr>
        <w:t xml:space="preserve">that </w:t>
      </w:r>
      <w:r w:rsidR="00EB2022">
        <w:rPr>
          <w:rFonts w:cstheme="minorHAnsi"/>
          <w:sz w:val="22"/>
          <w:szCs w:val="22"/>
        </w:rPr>
        <w:t>women judges</w:t>
      </w:r>
      <w:r w:rsidR="00B23BCF">
        <w:rPr>
          <w:rFonts w:cstheme="minorHAnsi"/>
          <w:sz w:val="22"/>
          <w:szCs w:val="22"/>
        </w:rPr>
        <w:t xml:space="preserve"> were</w:t>
      </w:r>
      <w:r w:rsidR="002A4CA3">
        <w:rPr>
          <w:rFonts w:cstheme="minorHAnsi"/>
          <w:sz w:val="22"/>
          <w:szCs w:val="22"/>
        </w:rPr>
        <w:t xml:space="preserve">, simply by virtue of being women, </w:t>
      </w:r>
      <w:r w:rsidR="00B23BCF" w:rsidRPr="009913EA">
        <w:rPr>
          <w:rFonts w:cstheme="minorHAnsi"/>
          <w:sz w:val="22"/>
          <w:szCs w:val="22"/>
        </w:rPr>
        <w:t>inevitably and irrevocably</w:t>
      </w:r>
      <w:r w:rsidR="00B23BCF">
        <w:rPr>
          <w:rFonts w:cstheme="minorHAnsi"/>
          <w:i/>
          <w:iCs/>
          <w:sz w:val="22"/>
          <w:szCs w:val="22"/>
        </w:rPr>
        <w:t xml:space="preserve"> </w:t>
      </w:r>
      <w:r w:rsidR="002A4CA3">
        <w:rPr>
          <w:rFonts w:cstheme="minorHAnsi"/>
          <w:sz w:val="22"/>
          <w:szCs w:val="22"/>
        </w:rPr>
        <w:t>‘</w:t>
      </w:r>
      <w:r w:rsidR="00B23BCF">
        <w:rPr>
          <w:rFonts w:cstheme="minorHAnsi"/>
          <w:sz w:val="22"/>
          <w:szCs w:val="22"/>
        </w:rPr>
        <w:t>different</w:t>
      </w:r>
      <w:r w:rsidR="002A4CA3">
        <w:rPr>
          <w:rFonts w:cstheme="minorHAnsi"/>
          <w:sz w:val="22"/>
          <w:szCs w:val="22"/>
        </w:rPr>
        <w:t>’</w:t>
      </w:r>
      <w:r w:rsidR="00694502">
        <w:rPr>
          <w:rFonts w:cstheme="minorHAnsi"/>
          <w:sz w:val="22"/>
          <w:szCs w:val="22"/>
        </w:rPr>
        <w:t xml:space="preserve"> to their male colleagues</w:t>
      </w:r>
      <w:r w:rsidR="00EB2022">
        <w:rPr>
          <w:rFonts w:cstheme="minorHAnsi"/>
          <w:sz w:val="22"/>
          <w:szCs w:val="22"/>
        </w:rPr>
        <w:t xml:space="preserve">, </w:t>
      </w:r>
      <w:r w:rsidR="002E0BDE">
        <w:rPr>
          <w:rFonts w:cstheme="minorHAnsi"/>
          <w:sz w:val="22"/>
          <w:szCs w:val="22"/>
        </w:rPr>
        <w:t>she ha</w:t>
      </w:r>
      <w:r w:rsidR="006A11B6">
        <w:rPr>
          <w:rFonts w:cstheme="minorHAnsi"/>
          <w:sz w:val="22"/>
          <w:szCs w:val="22"/>
        </w:rPr>
        <w:t xml:space="preserve">s </w:t>
      </w:r>
      <w:r w:rsidR="002E0BDE">
        <w:rPr>
          <w:rFonts w:cstheme="minorHAnsi"/>
          <w:sz w:val="22"/>
          <w:szCs w:val="22"/>
        </w:rPr>
        <w:t>always been more</w:t>
      </w:r>
      <w:r w:rsidR="00B23BCF">
        <w:rPr>
          <w:rFonts w:cstheme="minorHAnsi"/>
          <w:sz w:val="22"/>
          <w:szCs w:val="22"/>
        </w:rPr>
        <w:t xml:space="preserve"> </w:t>
      </w:r>
      <w:r w:rsidR="00EB2022">
        <w:rPr>
          <w:rFonts w:cstheme="minorHAnsi"/>
          <w:sz w:val="22"/>
          <w:szCs w:val="22"/>
        </w:rPr>
        <w:t xml:space="preserve">open to the </w:t>
      </w:r>
      <w:r w:rsidR="00EB2022" w:rsidRPr="00EB2022">
        <w:rPr>
          <w:rFonts w:cstheme="minorHAnsi"/>
          <w:i/>
          <w:iCs/>
          <w:sz w:val="22"/>
          <w:szCs w:val="22"/>
        </w:rPr>
        <w:t>possibility</w:t>
      </w:r>
      <w:r w:rsidR="00EB2022">
        <w:rPr>
          <w:rFonts w:cstheme="minorHAnsi"/>
          <w:sz w:val="22"/>
          <w:szCs w:val="22"/>
        </w:rPr>
        <w:t xml:space="preserve"> </w:t>
      </w:r>
      <w:r w:rsidR="002A4CA3">
        <w:rPr>
          <w:rFonts w:cstheme="minorHAnsi"/>
          <w:sz w:val="22"/>
          <w:szCs w:val="22"/>
        </w:rPr>
        <w:t>that women judges may, at times, judge</w:t>
      </w:r>
      <w:r w:rsidR="00EB2022">
        <w:rPr>
          <w:rFonts w:cstheme="minorHAnsi"/>
          <w:sz w:val="22"/>
          <w:szCs w:val="22"/>
        </w:rPr>
        <w:t xml:space="preserve"> differen</w:t>
      </w:r>
      <w:r w:rsidR="002A4CA3">
        <w:rPr>
          <w:rFonts w:cstheme="minorHAnsi"/>
          <w:sz w:val="22"/>
          <w:szCs w:val="22"/>
        </w:rPr>
        <w:t>tly</w:t>
      </w:r>
      <w:r w:rsidR="00B23BCF">
        <w:rPr>
          <w:rFonts w:cstheme="minorHAnsi"/>
          <w:sz w:val="22"/>
          <w:szCs w:val="22"/>
        </w:rPr>
        <w:t>. This</w:t>
      </w:r>
      <w:r w:rsidR="00EB2022">
        <w:rPr>
          <w:rFonts w:cstheme="minorHAnsi"/>
          <w:sz w:val="22"/>
          <w:szCs w:val="22"/>
        </w:rPr>
        <w:t xml:space="preserve"> is evident in her </w:t>
      </w:r>
      <w:r w:rsidR="00695ABF" w:rsidRPr="00695ABF">
        <w:rPr>
          <w:rFonts w:cstheme="minorHAnsi"/>
          <w:sz w:val="22"/>
          <w:szCs w:val="22"/>
        </w:rPr>
        <w:t xml:space="preserve">pathbreaking </w:t>
      </w:r>
      <w:r w:rsidR="00694502">
        <w:rPr>
          <w:rFonts w:cstheme="minorHAnsi"/>
          <w:sz w:val="22"/>
          <w:szCs w:val="22"/>
        </w:rPr>
        <w:t xml:space="preserve">book, </w:t>
      </w:r>
      <w:proofErr w:type="gramStart"/>
      <w:r w:rsidR="00695ABF" w:rsidRPr="00695ABF">
        <w:rPr>
          <w:rFonts w:cstheme="minorHAnsi"/>
          <w:i/>
          <w:iCs/>
          <w:sz w:val="22"/>
          <w:szCs w:val="22"/>
        </w:rPr>
        <w:t>Women</w:t>
      </w:r>
      <w:proofErr w:type="gramEnd"/>
      <w:r w:rsidR="00695ABF" w:rsidRPr="00695ABF">
        <w:rPr>
          <w:rFonts w:cstheme="minorHAnsi"/>
          <w:i/>
          <w:iCs/>
          <w:sz w:val="22"/>
          <w:szCs w:val="22"/>
        </w:rPr>
        <w:t xml:space="preserve"> and the Law</w:t>
      </w:r>
      <w:r w:rsidR="00EB2022">
        <w:rPr>
          <w:rFonts w:cstheme="minorHAnsi"/>
          <w:sz w:val="22"/>
          <w:szCs w:val="22"/>
        </w:rPr>
        <w:t xml:space="preserve">, co-authored with Susan Atkins in the early 1980s. With the familiar caveat of rarity, they </w:t>
      </w:r>
      <w:r w:rsidR="00695ABF">
        <w:rPr>
          <w:rFonts w:cstheme="minorHAnsi"/>
          <w:sz w:val="22"/>
          <w:szCs w:val="22"/>
        </w:rPr>
        <w:t xml:space="preserve">suggested </w:t>
      </w:r>
      <w:r w:rsidR="00695ABF" w:rsidRPr="00695ABF">
        <w:rPr>
          <w:rFonts w:cstheme="minorHAnsi"/>
          <w:color w:val="292526"/>
          <w:sz w:val="22"/>
          <w:szCs w:val="22"/>
        </w:rPr>
        <w:t>it was possible to find ‘instances’ where women judges ‘seem to have taken a slightly different, though no less technical, approach to a case’</w:t>
      </w:r>
      <w:r w:rsidR="00EB2022">
        <w:rPr>
          <w:rFonts w:cstheme="minorHAnsi"/>
          <w:color w:val="292526"/>
          <w:sz w:val="22"/>
          <w:szCs w:val="22"/>
        </w:rPr>
        <w:t>,</w:t>
      </w:r>
      <w:r w:rsidR="00695ABF" w:rsidRPr="00695ABF">
        <w:rPr>
          <w:rStyle w:val="FootnoteReference"/>
          <w:rFonts w:cstheme="minorHAnsi"/>
          <w:color w:val="292526"/>
          <w:sz w:val="22"/>
          <w:szCs w:val="22"/>
        </w:rPr>
        <w:footnoteReference w:id="60"/>
      </w:r>
      <w:r w:rsidR="00695ABF" w:rsidRPr="00695ABF">
        <w:rPr>
          <w:rFonts w:cstheme="minorHAnsi"/>
          <w:color w:val="292526"/>
          <w:sz w:val="22"/>
          <w:szCs w:val="22"/>
        </w:rPr>
        <w:t xml:space="preserve"> point</w:t>
      </w:r>
      <w:r w:rsidR="00B23BCF">
        <w:rPr>
          <w:rFonts w:cstheme="minorHAnsi"/>
          <w:color w:val="292526"/>
          <w:sz w:val="22"/>
          <w:szCs w:val="22"/>
        </w:rPr>
        <w:t xml:space="preserve">ing </w:t>
      </w:r>
      <w:r w:rsidR="00695ABF" w:rsidRPr="00695ABF">
        <w:rPr>
          <w:rFonts w:cstheme="minorHAnsi"/>
          <w:color w:val="292526"/>
          <w:sz w:val="22"/>
          <w:szCs w:val="22"/>
        </w:rPr>
        <w:t xml:space="preserve">to the judgment </w:t>
      </w:r>
      <w:r w:rsidR="00B23BCF">
        <w:rPr>
          <w:rFonts w:cstheme="minorHAnsi"/>
          <w:color w:val="292526"/>
          <w:sz w:val="22"/>
          <w:szCs w:val="22"/>
        </w:rPr>
        <w:t>of</w:t>
      </w:r>
      <w:r w:rsidR="00695ABF" w:rsidRPr="00695ABF">
        <w:rPr>
          <w:rFonts w:cstheme="minorHAnsi"/>
          <w:color w:val="292526"/>
          <w:sz w:val="22"/>
          <w:szCs w:val="22"/>
        </w:rPr>
        <w:t xml:space="preserve"> </w:t>
      </w:r>
      <w:proofErr w:type="spellStart"/>
      <w:r w:rsidR="00695ABF" w:rsidRPr="00695ABF">
        <w:rPr>
          <w:rFonts w:cstheme="minorHAnsi"/>
          <w:color w:val="292526"/>
          <w:sz w:val="22"/>
          <w:szCs w:val="22"/>
        </w:rPr>
        <w:t>He</w:t>
      </w:r>
      <w:r w:rsidR="00B81EAE">
        <w:rPr>
          <w:rFonts w:cstheme="minorHAnsi"/>
          <w:color w:val="292526"/>
          <w:sz w:val="22"/>
          <w:szCs w:val="22"/>
        </w:rPr>
        <w:t>i</w:t>
      </w:r>
      <w:r w:rsidR="00695ABF" w:rsidRPr="00695ABF">
        <w:rPr>
          <w:rFonts w:cstheme="minorHAnsi"/>
          <w:color w:val="292526"/>
          <w:sz w:val="22"/>
          <w:szCs w:val="22"/>
        </w:rPr>
        <w:t>lbron</w:t>
      </w:r>
      <w:proofErr w:type="spellEnd"/>
      <w:r w:rsidR="00695ABF">
        <w:rPr>
          <w:rFonts w:cstheme="minorHAnsi"/>
          <w:color w:val="292526"/>
          <w:sz w:val="22"/>
          <w:szCs w:val="22"/>
        </w:rPr>
        <w:t xml:space="preserve"> J</w:t>
      </w:r>
      <w:r w:rsidR="00695ABF" w:rsidRPr="00695ABF">
        <w:rPr>
          <w:rFonts w:cstheme="minorHAnsi"/>
          <w:color w:val="292526"/>
          <w:sz w:val="22"/>
          <w:szCs w:val="22"/>
        </w:rPr>
        <w:t xml:space="preserve"> in </w:t>
      </w:r>
      <w:r w:rsidR="00695ABF" w:rsidRPr="00695ABF">
        <w:rPr>
          <w:rFonts w:cstheme="minorHAnsi"/>
          <w:i/>
          <w:iCs/>
          <w:color w:val="292526"/>
          <w:sz w:val="22"/>
          <w:szCs w:val="22"/>
        </w:rPr>
        <w:t xml:space="preserve">Bergin v Bergin </w:t>
      </w:r>
      <w:r w:rsidR="00695ABF" w:rsidRPr="00695ABF">
        <w:rPr>
          <w:rFonts w:cstheme="minorHAnsi"/>
          <w:color w:val="292526"/>
          <w:sz w:val="22"/>
          <w:szCs w:val="22"/>
        </w:rPr>
        <w:t>[1983]</w:t>
      </w:r>
      <w:r w:rsidR="00695ABF" w:rsidRPr="00695ABF">
        <w:rPr>
          <w:rFonts w:cstheme="minorHAnsi"/>
          <w:i/>
          <w:iCs/>
          <w:color w:val="292526"/>
          <w:sz w:val="22"/>
          <w:szCs w:val="22"/>
        </w:rPr>
        <w:t xml:space="preserve"> </w:t>
      </w:r>
      <w:r w:rsidR="00695ABF" w:rsidRPr="00695ABF">
        <w:rPr>
          <w:rFonts w:cstheme="minorHAnsi"/>
          <w:color w:val="292526"/>
          <w:sz w:val="22"/>
          <w:szCs w:val="22"/>
        </w:rPr>
        <w:t>as a case in point.</w:t>
      </w:r>
      <w:r w:rsidR="00694502">
        <w:rPr>
          <w:rStyle w:val="FootnoteReference"/>
          <w:rFonts w:cstheme="minorHAnsi"/>
          <w:color w:val="292526"/>
          <w:sz w:val="22"/>
          <w:szCs w:val="22"/>
        </w:rPr>
        <w:footnoteReference w:id="61"/>
      </w:r>
      <w:r w:rsidR="00695ABF" w:rsidRPr="00695ABF">
        <w:rPr>
          <w:rFonts w:cstheme="minorHAnsi"/>
          <w:color w:val="292526"/>
          <w:sz w:val="22"/>
          <w:szCs w:val="22"/>
        </w:rPr>
        <w:t xml:space="preserve"> </w:t>
      </w:r>
      <w:r w:rsidR="002A4CA3">
        <w:rPr>
          <w:rFonts w:cstheme="minorHAnsi"/>
          <w:color w:val="292526"/>
          <w:sz w:val="22"/>
          <w:szCs w:val="22"/>
        </w:rPr>
        <w:t>The</w:t>
      </w:r>
      <w:r w:rsidR="00695ABF" w:rsidRPr="00695ABF">
        <w:rPr>
          <w:rFonts w:cstheme="minorHAnsi"/>
          <w:color w:val="292526"/>
          <w:sz w:val="22"/>
          <w:szCs w:val="22"/>
        </w:rPr>
        <w:t xml:space="preserve"> case concerned the test to be adopted in adjudicating upon a complaint of unreasonable behaviour in the context of divorce proceedings. The lower courts had refused to make a financial provision order against Mr Bergin (who had been violent toward his wife), under the Domestic Proceedings and Magistrates' Courts Act 1978, on the basis that Mrs Bergin could reasonably be expected to live with him. Allowing the appeal, </w:t>
      </w:r>
      <w:proofErr w:type="spellStart"/>
      <w:r w:rsidR="00695ABF" w:rsidRPr="00695ABF">
        <w:rPr>
          <w:rFonts w:cstheme="minorHAnsi"/>
          <w:color w:val="292526"/>
          <w:sz w:val="22"/>
          <w:szCs w:val="22"/>
        </w:rPr>
        <w:t>He</w:t>
      </w:r>
      <w:r w:rsidR="00B81EAE">
        <w:rPr>
          <w:rFonts w:cstheme="minorHAnsi"/>
          <w:color w:val="292526"/>
          <w:sz w:val="22"/>
          <w:szCs w:val="22"/>
        </w:rPr>
        <w:t>i</w:t>
      </w:r>
      <w:r w:rsidR="00695ABF" w:rsidRPr="00695ABF">
        <w:rPr>
          <w:rFonts w:cstheme="minorHAnsi"/>
          <w:color w:val="292526"/>
          <w:sz w:val="22"/>
          <w:szCs w:val="22"/>
        </w:rPr>
        <w:t>lbron</w:t>
      </w:r>
      <w:proofErr w:type="spellEnd"/>
      <w:r w:rsidR="00695ABF" w:rsidRPr="00695ABF">
        <w:rPr>
          <w:rFonts w:cstheme="minorHAnsi"/>
          <w:color w:val="292526"/>
          <w:sz w:val="22"/>
          <w:szCs w:val="22"/>
        </w:rPr>
        <w:t xml:space="preserve"> J continued:</w:t>
      </w:r>
    </w:p>
    <w:p w14:paraId="61716706" w14:textId="55EFAFB2" w:rsidR="00695ABF" w:rsidRPr="00695ABF" w:rsidRDefault="00695ABF" w:rsidP="00EB2022">
      <w:pPr>
        <w:pStyle w:val="Default"/>
        <w:snapToGrid w:val="0"/>
        <w:spacing w:line="360" w:lineRule="auto"/>
        <w:ind w:left="720"/>
        <w:rPr>
          <w:rFonts w:asciiTheme="minorHAnsi" w:hAnsiTheme="minorHAnsi" w:cstheme="minorHAnsi"/>
          <w:sz w:val="22"/>
          <w:szCs w:val="22"/>
        </w:rPr>
      </w:pPr>
      <w:r w:rsidRPr="00695ABF">
        <w:rPr>
          <w:rFonts w:asciiTheme="minorHAnsi" w:hAnsiTheme="minorHAnsi" w:cstheme="minorHAnsi"/>
          <w:sz w:val="22"/>
          <w:szCs w:val="22"/>
        </w:rPr>
        <w:t xml:space="preserve">Certain matters may have given the justices the idea that this lady was exaggerating, because although they clearly found that she received these injuries, she did not seek medical attention (no </w:t>
      </w:r>
      <w:r w:rsidRPr="00695ABF">
        <w:rPr>
          <w:rFonts w:asciiTheme="minorHAnsi" w:hAnsiTheme="minorHAnsi" w:cstheme="minorHAnsi"/>
          <w:sz w:val="22"/>
          <w:szCs w:val="22"/>
        </w:rPr>
        <w:lastRenderedPageBreak/>
        <w:t xml:space="preserve">doubt she thought that she could look after a black eye equally well herself) and she did not go to the police. It is not for every assault that a wife would wish to go to the </w:t>
      </w:r>
      <w:r w:rsidRPr="00695ABF">
        <w:rPr>
          <w:rFonts w:asciiTheme="minorHAnsi" w:hAnsiTheme="minorHAnsi" w:cstheme="minorHAnsi"/>
          <w:color w:val="auto"/>
          <w:sz w:val="22"/>
          <w:szCs w:val="22"/>
        </w:rPr>
        <w:t xml:space="preserve">police and get her husband into trouble … The wife appears to have covered up for her husband, and to have invented a reason for their having occurred which was not due to her husband's violence. It is noteworthy that on one occasion she mentioned to [a friend] that one of these injuries had been caused by walking into the garage door, and [the friend] pointed out that this lady did not have a garage. It is now quite clear that she was merely, trying to make life tolerable; she was trying to make the marriage work and for about 12 months she put up with this violence from her husband. </w:t>
      </w:r>
      <w:r w:rsidRPr="00695ABF">
        <w:rPr>
          <w:rFonts w:asciiTheme="minorHAnsi" w:hAnsiTheme="minorHAnsi" w:cstheme="minorHAnsi"/>
          <w:color w:val="auto"/>
          <w:sz w:val="22"/>
          <w:szCs w:val="22"/>
          <w:shd w:val="clear" w:color="auto" w:fill="FFFFFF"/>
        </w:rPr>
        <w:t xml:space="preserve">… It seems to me that that </w:t>
      </w:r>
      <w:proofErr w:type="gramStart"/>
      <w:r w:rsidRPr="00695ABF">
        <w:rPr>
          <w:rFonts w:asciiTheme="minorHAnsi" w:hAnsiTheme="minorHAnsi" w:cstheme="minorHAnsi"/>
          <w:color w:val="auto"/>
          <w:sz w:val="22"/>
          <w:szCs w:val="22"/>
          <w:shd w:val="clear" w:color="auto" w:fill="FFFFFF"/>
        </w:rPr>
        <w:t>particular finding</w:t>
      </w:r>
      <w:proofErr w:type="gramEnd"/>
      <w:r w:rsidRPr="00695ABF">
        <w:rPr>
          <w:rFonts w:asciiTheme="minorHAnsi" w:hAnsiTheme="minorHAnsi" w:cstheme="minorHAnsi"/>
          <w:color w:val="auto"/>
          <w:sz w:val="22"/>
          <w:szCs w:val="22"/>
          <w:shd w:val="clear" w:color="auto" w:fill="FFFFFF"/>
        </w:rPr>
        <w:t xml:space="preserve"> of the justices “We do not find that the wife was in fear” is a perverse one</w:t>
      </w:r>
      <w:r w:rsidRPr="00695ABF">
        <w:rPr>
          <w:rStyle w:val="apple-converted-space"/>
          <w:rFonts w:asciiTheme="minorHAnsi" w:hAnsiTheme="minorHAnsi" w:cstheme="minorHAnsi"/>
          <w:color w:val="auto"/>
          <w:sz w:val="22"/>
          <w:szCs w:val="22"/>
          <w:shd w:val="clear" w:color="auto" w:fill="FFFFFF"/>
        </w:rPr>
        <w:t>.</w:t>
      </w:r>
      <w:r w:rsidRPr="00695ABF">
        <w:rPr>
          <w:rStyle w:val="FootnoteReference"/>
          <w:rFonts w:asciiTheme="minorHAnsi" w:hAnsiTheme="minorHAnsi" w:cstheme="minorHAnsi"/>
          <w:color w:val="auto"/>
          <w:sz w:val="22"/>
          <w:szCs w:val="22"/>
          <w:shd w:val="clear" w:color="auto" w:fill="FFFFFF"/>
        </w:rPr>
        <w:footnoteReference w:id="62"/>
      </w:r>
    </w:p>
    <w:p w14:paraId="1EB8AEF6" w14:textId="77777777" w:rsidR="00953F60" w:rsidRPr="00695ABF" w:rsidRDefault="00953F60" w:rsidP="00EB2022">
      <w:pPr>
        <w:adjustRightInd w:val="0"/>
        <w:snapToGrid w:val="0"/>
        <w:spacing w:line="360" w:lineRule="auto"/>
        <w:rPr>
          <w:rFonts w:cstheme="minorHAnsi"/>
          <w:sz w:val="22"/>
          <w:szCs w:val="22"/>
        </w:rPr>
      </w:pPr>
    </w:p>
    <w:p w14:paraId="093B9154" w14:textId="30A32465" w:rsidR="00287AED" w:rsidRDefault="003E0741" w:rsidP="00B319DA">
      <w:pPr>
        <w:adjustRightInd w:val="0"/>
        <w:snapToGrid w:val="0"/>
        <w:spacing w:line="360" w:lineRule="auto"/>
        <w:rPr>
          <w:rFonts w:cstheme="minorHAnsi"/>
          <w:sz w:val="22"/>
          <w:szCs w:val="22"/>
        </w:rPr>
      </w:pPr>
      <w:r w:rsidRPr="00695ABF">
        <w:rPr>
          <w:rFonts w:cstheme="minorHAnsi"/>
          <w:sz w:val="22"/>
          <w:szCs w:val="22"/>
        </w:rPr>
        <w:t xml:space="preserve">Of course, </w:t>
      </w:r>
      <w:r w:rsidR="00287AED">
        <w:rPr>
          <w:rFonts w:cstheme="minorHAnsi"/>
          <w:sz w:val="22"/>
          <w:szCs w:val="22"/>
        </w:rPr>
        <w:t xml:space="preserve">Lady </w:t>
      </w:r>
      <w:r w:rsidR="0002152A" w:rsidRPr="00695ABF">
        <w:rPr>
          <w:rFonts w:cstheme="minorHAnsi"/>
          <w:sz w:val="22"/>
          <w:szCs w:val="22"/>
        </w:rPr>
        <w:t>Hale’s and others</w:t>
      </w:r>
      <w:r w:rsidR="00A7314B" w:rsidRPr="00695ABF">
        <w:rPr>
          <w:rFonts w:cstheme="minorHAnsi"/>
          <w:sz w:val="22"/>
          <w:szCs w:val="22"/>
        </w:rPr>
        <w:t>’</w:t>
      </w:r>
      <w:r w:rsidR="00EB2022">
        <w:rPr>
          <w:rFonts w:cstheme="minorHAnsi"/>
          <w:sz w:val="22"/>
          <w:szCs w:val="22"/>
        </w:rPr>
        <w:t xml:space="preserve"> </w:t>
      </w:r>
      <w:r w:rsidR="0002152A">
        <w:rPr>
          <w:rFonts w:cstheme="minorHAnsi"/>
          <w:sz w:val="22"/>
          <w:szCs w:val="22"/>
        </w:rPr>
        <w:t>point is not</w:t>
      </w:r>
      <w:r w:rsidRPr="003E0741">
        <w:rPr>
          <w:rFonts w:cstheme="minorHAnsi"/>
          <w:sz w:val="22"/>
          <w:szCs w:val="22"/>
        </w:rPr>
        <w:t xml:space="preserve"> exclusively tied to gender. Nor is the recognition that a judge’s decision-making is, on occasion, shaped and informed by </w:t>
      </w:r>
      <w:r w:rsidR="00D55953">
        <w:rPr>
          <w:rFonts w:cstheme="minorHAnsi"/>
          <w:sz w:val="22"/>
          <w:szCs w:val="22"/>
        </w:rPr>
        <w:t xml:space="preserve">the intersection of their </w:t>
      </w:r>
      <w:r w:rsidRPr="003E0741">
        <w:rPr>
          <w:rFonts w:cstheme="minorHAnsi"/>
          <w:sz w:val="22"/>
          <w:szCs w:val="22"/>
        </w:rPr>
        <w:t xml:space="preserve">gender, race, ethnicity, class, professional background, politics, sexuality and so on </w:t>
      </w:r>
      <w:r w:rsidR="0002152A">
        <w:rPr>
          <w:rFonts w:cstheme="minorHAnsi"/>
          <w:sz w:val="22"/>
          <w:szCs w:val="22"/>
        </w:rPr>
        <w:t>itself</w:t>
      </w:r>
      <w:r w:rsidRPr="003E0741">
        <w:rPr>
          <w:rFonts w:cstheme="minorHAnsi"/>
          <w:sz w:val="22"/>
          <w:szCs w:val="22"/>
        </w:rPr>
        <w:t xml:space="preserve"> an argument for judicial diversity. At most, it identifies one consequence of a more diverse judiciary – namely diversity in the style and substance of decision-making. It does, however, allow us to see how such an argument could be made</w:t>
      </w:r>
      <w:r w:rsidR="00287AED">
        <w:rPr>
          <w:rFonts w:cstheme="minorHAnsi"/>
          <w:sz w:val="22"/>
          <w:szCs w:val="22"/>
        </w:rPr>
        <w:t xml:space="preserve">. For </w:t>
      </w:r>
      <w:r w:rsidR="006333FC">
        <w:rPr>
          <w:rFonts w:cstheme="minorHAnsi"/>
          <w:sz w:val="22"/>
          <w:szCs w:val="22"/>
        </w:rPr>
        <w:t>judges (particularly at the highest level) are often called on to make decisions where the existing legal rules provide no clear answer – where the judge must turn to her or his own sense of justice to decide the case</w:t>
      </w:r>
      <w:r w:rsidR="00FE47B4">
        <w:rPr>
          <w:rFonts w:cstheme="minorHAnsi"/>
          <w:sz w:val="22"/>
          <w:szCs w:val="22"/>
        </w:rPr>
        <w:t>. An</w:t>
      </w:r>
      <w:r w:rsidR="006333FC">
        <w:rPr>
          <w:rFonts w:cstheme="minorHAnsi"/>
          <w:sz w:val="22"/>
          <w:szCs w:val="22"/>
        </w:rPr>
        <w:t xml:space="preserve">d when they do so they will sometimes have no choice but to fall back on their own values, experiences and perspectives –  that, in the words of </w:t>
      </w:r>
      <w:r w:rsidR="00287AED" w:rsidRPr="00287AED">
        <w:rPr>
          <w:rFonts w:cstheme="minorHAnsi"/>
          <w:sz w:val="22"/>
          <w:szCs w:val="22"/>
        </w:rPr>
        <w:t>former Justice</w:t>
      </w:r>
      <w:r w:rsidR="000D3787">
        <w:rPr>
          <w:rFonts w:cstheme="minorHAnsi"/>
          <w:sz w:val="22"/>
          <w:szCs w:val="22"/>
        </w:rPr>
        <w:t xml:space="preserve"> of the Supreme Court of Canada</w:t>
      </w:r>
      <w:r w:rsidR="00287AED" w:rsidRPr="00287AED">
        <w:rPr>
          <w:rFonts w:cstheme="minorHAnsi"/>
          <w:sz w:val="22"/>
          <w:szCs w:val="22"/>
        </w:rPr>
        <w:t xml:space="preserve">, Rosalie </w:t>
      </w:r>
      <w:proofErr w:type="spellStart"/>
      <w:r w:rsidR="00287AED" w:rsidRPr="00287AED">
        <w:rPr>
          <w:rFonts w:cstheme="minorHAnsi"/>
          <w:sz w:val="22"/>
          <w:szCs w:val="22"/>
        </w:rPr>
        <w:t>Abella</w:t>
      </w:r>
      <w:proofErr w:type="spellEnd"/>
      <w:r w:rsidR="00287AED" w:rsidRPr="00287AED">
        <w:rPr>
          <w:rFonts w:cstheme="minorHAnsi"/>
          <w:sz w:val="22"/>
          <w:szCs w:val="22"/>
        </w:rPr>
        <w:t>,</w:t>
      </w:r>
      <w:r w:rsidR="00287AED">
        <w:rPr>
          <w:rFonts w:cstheme="minorHAnsi"/>
          <w:sz w:val="22"/>
          <w:szCs w:val="22"/>
        </w:rPr>
        <w:t xml:space="preserve"> </w:t>
      </w:r>
      <w:r w:rsidR="00287AED" w:rsidRPr="00287AED">
        <w:rPr>
          <w:rFonts w:cstheme="minorHAnsi"/>
          <w:sz w:val="22"/>
          <w:szCs w:val="22"/>
        </w:rPr>
        <w:t>‘[e]very decisionmaker who walks into a courtroom to hear a case is armed not only with the relevant texts, but with a set of values, experiences and assumptions that are thoroughly embedded’</w:t>
      </w:r>
      <w:r w:rsidR="00FE47B4">
        <w:rPr>
          <w:rFonts w:cstheme="minorHAnsi"/>
          <w:sz w:val="22"/>
          <w:szCs w:val="22"/>
        </w:rPr>
        <w:t>.</w:t>
      </w:r>
      <w:r w:rsidR="00FE47B4">
        <w:rPr>
          <w:rStyle w:val="FootnoteReference"/>
          <w:rFonts w:cstheme="minorHAnsi"/>
          <w:sz w:val="22"/>
          <w:szCs w:val="22"/>
        </w:rPr>
        <w:footnoteReference w:id="63"/>
      </w:r>
      <w:r w:rsidR="00FE47B4">
        <w:rPr>
          <w:rFonts w:cstheme="minorHAnsi"/>
          <w:sz w:val="22"/>
          <w:szCs w:val="22"/>
        </w:rPr>
        <w:t xml:space="preserve"> </w:t>
      </w:r>
      <w:r w:rsidR="00B81EAE">
        <w:rPr>
          <w:rFonts w:cstheme="minorHAnsi"/>
          <w:sz w:val="22"/>
          <w:szCs w:val="22"/>
        </w:rPr>
        <w:t>It follows</w:t>
      </w:r>
      <w:r w:rsidR="00FE47B4">
        <w:rPr>
          <w:rFonts w:cstheme="minorHAnsi"/>
          <w:sz w:val="22"/>
          <w:szCs w:val="22"/>
        </w:rPr>
        <w:t xml:space="preserve"> that</w:t>
      </w:r>
      <w:r w:rsidR="006333FC">
        <w:rPr>
          <w:rFonts w:cstheme="minorHAnsi"/>
          <w:sz w:val="22"/>
          <w:szCs w:val="22"/>
        </w:rPr>
        <w:t xml:space="preserve"> </w:t>
      </w:r>
      <w:r w:rsidR="000D3787" w:rsidRPr="00FE47B4">
        <w:rPr>
          <w:rFonts w:cstheme="minorHAnsi"/>
          <w:i/>
          <w:iCs/>
          <w:sz w:val="22"/>
          <w:szCs w:val="22"/>
        </w:rPr>
        <w:t>who</w:t>
      </w:r>
      <w:r w:rsidR="000D3787">
        <w:rPr>
          <w:rFonts w:cstheme="minorHAnsi"/>
          <w:sz w:val="22"/>
          <w:szCs w:val="22"/>
        </w:rPr>
        <w:t xml:space="preserve"> </w:t>
      </w:r>
      <w:r w:rsidR="00FE47B4">
        <w:rPr>
          <w:rFonts w:cstheme="minorHAnsi"/>
          <w:sz w:val="22"/>
          <w:szCs w:val="22"/>
        </w:rPr>
        <w:t>the</w:t>
      </w:r>
      <w:r w:rsidR="000D3787">
        <w:rPr>
          <w:rFonts w:cstheme="minorHAnsi"/>
          <w:sz w:val="22"/>
          <w:szCs w:val="22"/>
        </w:rPr>
        <w:t xml:space="preserve"> judge is matters</w:t>
      </w:r>
      <w:r w:rsidR="00287AED">
        <w:rPr>
          <w:rFonts w:cstheme="minorHAnsi"/>
          <w:sz w:val="22"/>
          <w:szCs w:val="22"/>
        </w:rPr>
        <w:t>.</w:t>
      </w:r>
      <w:r w:rsidR="000D3787">
        <w:rPr>
          <w:rFonts w:cstheme="minorHAnsi"/>
          <w:sz w:val="22"/>
          <w:szCs w:val="22"/>
        </w:rPr>
        <w:t xml:space="preserve"> </w:t>
      </w:r>
      <w:r w:rsidR="00FE47B4">
        <w:rPr>
          <w:sz w:val="22"/>
        </w:rPr>
        <w:t xml:space="preserve">Insofar as </w:t>
      </w:r>
      <w:r w:rsidR="000D3787">
        <w:rPr>
          <w:sz w:val="22"/>
        </w:rPr>
        <w:t xml:space="preserve">the experiences and background of any one judge will be limited, </w:t>
      </w:r>
      <w:r w:rsidR="00FE47B4">
        <w:rPr>
          <w:sz w:val="22"/>
        </w:rPr>
        <w:t>so too</w:t>
      </w:r>
      <w:r w:rsidR="000D3787">
        <w:rPr>
          <w:sz w:val="22"/>
        </w:rPr>
        <w:t xml:space="preserve"> will the insights their experiences and background might provide. </w:t>
      </w:r>
      <w:r w:rsidR="00287AED">
        <w:rPr>
          <w:rFonts w:cstheme="minorHAnsi"/>
          <w:sz w:val="22"/>
          <w:szCs w:val="22"/>
        </w:rPr>
        <w:t xml:space="preserve"> </w:t>
      </w:r>
      <w:r w:rsidR="00B81EAE">
        <w:rPr>
          <w:sz w:val="22"/>
        </w:rPr>
        <w:t>T</w:t>
      </w:r>
      <w:r w:rsidR="000D3787">
        <w:rPr>
          <w:sz w:val="22"/>
        </w:rPr>
        <w:t xml:space="preserve">o the extent that good judgment is informed by and so a product of such experiences and the insights and information they can provide, </w:t>
      </w:r>
      <w:r w:rsidR="008803BC">
        <w:rPr>
          <w:sz w:val="22"/>
        </w:rPr>
        <w:t xml:space="preserve">then </w:t>
      </w:r>
      <w:r w:rsidR="000D3787" w:rsidRPr="00CF3BD1">
        <w:rPr>
          <w:sz w:val="22"/>
        </w:rPr>
        <w:t xml:space="preserve">a judiciary with a greater wealth of expertise </w:t>
      </w:r>
      <w:r w:rsidR="00B81EAE">
        <w:rPr>
          <w:sz w:val="22"/>
        </w:rPr>
        <w:t>and</w:t>
      </w:r>
      <w:r w:rsidR="00B81EAE" w:rsidRPr="00CF3BD1">
        <w:rPr>
          <w:sz w:val="22"/>
        </w:rPr>
        <w:t xml:space="preserve"> </w:t>
      </w:r>
      <w:r w:rsidR="000D3787" w:rsidRPr="00CF3BD1">
        <w:rPr>
          <w:sz w:val="22"/>
        </w:rPr>
        <w:t xml:space="preserve">insights to draw on </w:t>
      </w:r>
      <w:r w:rsidR="000D3787">
        <w:rPr>
          <w:sz w:val="22"/>
        </w:rPr>
        <w:t>is</w:t>
      </w:r>
      <w:r w:rsidR="000D3787" w:rsidRPr="00CF3BD1">
        <w:rPr>
          <w:sz w:val="22"/>
        </w:rPr>
        <w:t xml:space="preserve"> better equipped</w:t>
      </w:r>
      <w:r w:rsidR="000D3787">
        <w:rPr>
          <w:sz w:val="22"/>
        </w:rPr>
        <w:t xml:space="preserve"> and better informed</w:t>
      </w:r>
      <w:r w:rsidR="008803BC">
        <w:rPr>
          <w:sz w:val="22"/>
        </w:rPr>
        <w:t xml:space="preserve"> – </w:t>
      </w:r>
      <w:r w:rsidR="00B81EAE">
        <w:rPr>
          <w:sz w:val="22"/>
        </w:rPr>
        <w:t xml:space="preserve">and hence </w:t>
      </w:r>
      <w:r w:rsidR="008803BC">
        <w:rPr>
          <w:sz w:val="22"/>
        </w:rPr>
        <w:t xml:space="preserve">is </w:t>
      </w:r>
      <w:r w:rsidR="00B81EAE">
        <w:rPr>
          <w:sz w:val="22"/>
        </w:rPr>
        <w:t xml:space="preserve">that much </w:t>
      </w:r>
      <w:r w:rsidR="008803BC">
        <w:rPr>
          <w:sz w:val="22"/>
        </w:rPr>
        <w:t xml:space="preserve">more likely to </w:t>
      </w:r>
      <w:r w:rsidR="0045786C">
        <w:rPr>
          <w:sz w:val="22"/>
        </w:rPr>
        <w:t>do their job well</w:t>
      </w:r>
      <w:r w:rsidR="008803BC">
        <w:rPr>
          <w:sz w:val="22"/>
        </w:rPr>
        <w:t xml:space="preserve"> – </w:t>
      </w:r>
      <w:r w:rsidR="000D3787" w:rsidRPr="00CF3BD1">
        <w:rPr>
          <w:sz w:val="22"/>
        </w:rPr>
        <w:t>than one with a narrower background or range of knowledge</w:t>
      </w:r>
      <w:r w:rsidR="008803BC">
        <w:rPr>
          <w:sz w:val="22"/>
        </w:rPr>
        <w:t>.</w:t>
      </w:r>
      <w:r w:rsidR="000D3787">
        <w:rPr>
          <w:sz w:val="22"/>
        </w:rPr>
        <w:t xml:space="preserve"> </w:t>
      </w:r>
      <w:r w:rsidR="00717007">
        <w:rPr>
          <w:rFonts w:cstheme="minorHAnsi"/>
          <w:sz w:val="22"/>
          <w:szCs w:val="22"/>
        </w:rPr>
        <w:t xml:space="preserve">The </w:t>
      </w:r>
      <w:r w:rsidR="00717007" w:rsidRPr="00D55C23">
        <w:rPr>
          <w:rFonts w:cstheme="minorHAnsi"/>
          <w:sz w:val="22"/>
          <w:szCs w:val="22"/>
        </w:rPr>
        <w:t>judiciary is stronger</w:t>
      </w:r>
      <w:r w:rsidR="00717007">
        <w:rPr>
          <w:rFonts w:cstheme="minorHAnsi"/>
          <w:sz w:val="22"/>
          <w:szCs w:val="22"/>
        </w:rPr>
        <w:t>,</w:t>
      </w:r>
      <w:r w:rsidR="00717007" w:rsidRPr="00D55C23">
        <w:rPr>
          <w:rFonts w:cstheme="minorHAnsi"/>
          <w:sz w:val="22"/>
          <w:szCs w:val="22"/>
        </w:rPr>
        <w:t xml:space="preserve"> and the justice dispensed better</w:t>
      </w:r>
      <w:r w:rsidR="00717007">
        <w:rPr>
          <w:rFonts w:cstheme="minorHAnsi"/>
          <w:sz w:val="22"/>
          <w:szCs w:val="22"/>
        </w:rPr>
        <w:t>,</w:t>
      </w:r>
      <w:r w:rsidR="00717007" w:rsidRPr="00D55C23">
        <w:rPr>
          <w:rFonts w:cstheme="minorHAnsi"/>
          <w:sz w:val="22"/>
          <w:szCs w:val="22"/>
        </w:rPr>
        <w:t xml:space="preserve"> </w:t>
      </w:r>
      <w:r w:rsidR="00717007" w:rsidRPr="00CF3BD1">
        <w:rPr>
          <w:sz w:val="22"/>
        </w:rPr>
        <w:t>the more varied the perspectives and experiences that are involved in its decisi</w:t>
      </w:r>
      <w:r w:rsidR="00717007">
        <w:rPr>
          <w:sz w:val="22"/>
        </w:rPr>
        <w:t>on-making. In</w:t>
      </w:r>
      <w:r w:rsidR="008803BC">
        <w:rPr>
          <w:sz w:val="22"/>
        </w:rPr>
        <w:t xml:space="preserve"> </w:t>
      </w:r>
      <w:r w:rsidR="00B81EAE">
        <w:rPr>
          <w:sz w:val="22"/>
        </w:rPr>
        <w:t xml:space="preserve">the words of </w:t>
      </w:r>
      <w:r w:rsidR="000D3787">
        <w:rPr>
          <w:rFonts w:cstheme="minorHAnsi"/>
          <w:sz w:val="22"/>
          <w:szCs w:val="22"/>
        </w:rPr>
        <w:t>former US Supreme Court Justice, Benjamin Cardozo</w:t>
      </w:r>
      <w:r w:rsidR="00717007">
        <w:rPr>
          <w:rFonts w:cstheme="minorHAnsi"/>
          <w:sz w:val="22"/>
          <w:szCs w:val="22"/>
        </w:rPr>
        <w:t xml:space="preserve">, </w:t>
      </w:r>
      <w:r w:rsidR="000D3787">
        <w:rPr>
          <w:rFonts w:cstheme="minorHAnsi"/>
          <w:sz w:val="22"/>
          <w:szCs w:val="22"/>
        </w:rPr>
        <w:t>‘</w:t>
      </w:r>
      <w:r w:rsidR="000D3787" w:rsidRPr="00C54B8E">
        <w:rPr>
          <w:rFonts w:cstheme="minorHAnsi"/>
          <w:sz w:val="22"/>
          <w:szCs w:val="22"/>
        </w:rPr>
        <w:t>out of the attrition of diverse minds there is beaten something which has a constancy and uniformity and average value greater than its component elements’</w:t>
      </w:r>
      <w:r w:rsidR="008803BC">
        <w:rPr>
          <w:rFonts w:cstheme="minorHAnsi"/>
          <w:sz w:val="22"/>
          <w:szCs w:val="22"/>
        </w:rPr>
        <w:t>.</w:t>
      </w:r>
      <w:r w:rsidR="000D3787">
        <w:rPr>
          <w:rStyle w:val="FootnoteReference"/>
          <w:rFonts w:cstheme="minorHAnsi"/>
          <w:sz w:val="22"/>
          <w:szCs w:val="22"/>
        </w:rPr>
        <w:footnoteReference w:id="64"/>
      </w:r>
      <w:r w:rsidR="000D3787" w:rsidRPr="000D3787">
        <w:rPr>
          <w:rFonts w:cstheme="minorHAnsi"/>
          <w:sz w:val="22"/>
          <w:szCs w:val="22"/>
        </w:rPr>
        <w:t xml:space="preserve"> </w:t>
      </w:r>
      <w:r w:rsidR="008803BC">
        <w:rPr>
          <w:rFonts w:cstheme="minorHAnsi"/>
          <w:sz w:val="22"/>
          <w:szCs w:val="22"/>
        </w:rPr>
        <w:t>A</w:t>
      </w:r>
      <w:r w:rsidR="00717007">
        <w:rPr>
          <w:rFonts w:cstheme="minorHAnsi"/>
          <w:sz w:val="22"/>
          <w:szCs w:val="22"/>
        </w:rPr>
        <w:t>nd on this view a</w:t>
      </w:r>
      <w:r w:rsidR="000D3787">
        <w:rPr>
          <w:rFonts w:cstheme="minorHAnsi"/>
          <w:sz w:val="22"/>
          <w:szCs w:val="22"/>
        </w:rPr>
        <w:t xml:space="preserve"> </w:t>
      </w:r>
      <w:r w:rsidR="00287AED">
        <w:rPr>
          <w:rFonts w:cstheme="minorHAnsi"/>
          <w:sz w:val="22"/>
          <w:szCs w:val="22"/>
        </w:rPr>
        <w:t>diverse bench</w:t>
      </w:r>
      <w:r w:rsidR="00287AED" w:rsidRPr="00D55C23">
        <w:rPr>
          <w:rFonts w:cstheme="minorHAnsi"/>
          <w:sz w:val="22"/>
          <w:szCs w:val="22"/>
        </w:rPr>
        <w:t xml:space="preserve"> is not merely tangential to good judicial decision-making</w:t>
      </w:r>
      <w:r w:rsidR="006333FC">
        <w:rPr>
          <w:rFonts w:cstheme="minorHAnsi"/>
          <w:sz w:val="22"/>
          <w:szCs w:val="22"/>
        </w:rPr>
        <w:t>,</w:t>
      </w:r>
      <w:r w:rsidR="00287AED">
        <w:rPr>
          <w:rFonts w:cstheme="minorHAnsi"/>
          <w:sz w:val="22"/>
          <w:szCs w:val="22"/>
        </w:rPr>
        <w:t xml:space="preserve"> </w:t>
      </w:r>
      <w:r w:rsidR="00287AED" w:rsidRPr="00D55C23">
        <w:rPr>
          <w:rFonts w:cstheme="minorHAnsi"/>
          <w:sz w:val="22"/>
          <w:szCs w:val="22"/>
        </w:rPr>
        <w:t>but essential</w:t>
      </w:r>
      <w:r w:rsidR="00287AED">
        <w:rPr>
          <w:rFonts w:cstheme="minorHAnsi"/>
          <w:sz w:val="22"/>
          <w:szCs w:val="22"/>
        </w:rPr>
        <w:t xml:space="preserve">. Merit and diversity go hand in hand. If we want the judiciary to be the best it can be, diversity matters. </w:t>
      </w:r>
      <w:r w:rsidR="00717007">
        <w:rPr>
          <w:rFonts w:cstheme="minorHAnsi"/>
          <w:sz w:val="22"/>
          <w:szCs w:val="22"/>
        </w:rPr>
        <w:t>I</w:t>
      </w:r>
      <w:r w:rsidR="00287AED">
        <w:rPr>
          <w:rFonts w:cstheme="minorHAnsi"/>
          <w:sz w:val="22"/>
          <w:szCs w:val="22"/>
        </w:rPr>
        <w:t xml:space="preserve">f we want diversity, we need to </w:t>
      </w:r>
      <w:r w:rsidR="00717007">
        <w:rPr>
          <w:rFonts w:cstheme="minorHAnsi"/>
          <w:sz w:val="22"/>
          <w:szCs w:val="22"/>
        </w:rPr>
        <w:t xml:space="preserve">keep </w:t>
      </w:r>
      <w:r w:rsidR="00287AED">
        <w:rPr>
          <w:rFonts w:cstheme="minorHAnsi"/>
          <w:sz w:val="22"/>
          <w:szCs w:val="22"/>
        </w:rPr>
        <w:lastRenderedPageBreak/>
        <w:t>mak</w:t>
      </w:r>
      <w:r w:rsidR="00717007">
        <w:rPr>
          <w:rFonts w:cstheme="minorHAnsi"/>
          <w:sz w:val="22"/>
          <w:szCs w:val="22"/>
        </w:rPr>
        <w:t>ing</w:t>
      </w:r>
      <w:r w:rsidR="00287AED">
        <w:rPr>
          <w:rFonts w:cstheme="minorHAnsi"/>
          <w:sz w:val="22"/>
          <w:szCs w:val="22"/>
        </w:rPr>
        <w:t xml:space="preserve"> the quality argument for it. Not at some point in the future when the stars align, but right now. Which brings us to the establishment of the Industrial Court. </w:t>
      </w:r>
    </w:p>
    <w:p w14:paraId="5F8361AE" w14:textId="77777777" w:rsidR="00595CB5" w:rsidRDefault="00595CB5" w:rsidP="00A55895">
      <w:pPr>
        <w:spacing w:line="360" w:lineRule="auto"/>
        <w:rPr>
          <w:rFonts w:cstheme="minorHAnsi"/>
          <w:sz w:val="22"/>
          <w:szCs w:val="22"/>
        </w:rPr>
      </w:pPr>
    </w:p>
    <w:p w14:paraId="180872B3" w14:textId="04C4606B" w:rsidR="00717F56" w:rsidRPr="00904504" w:rsidRDefault="00904504" w:rsidP="00904504">
      <w:pPr>
        <w:spacing w:line="360" w:lineRule="auto"/>
        <w:jc w:val="center"/>
        <w:rPr>
          <w:rFonts w:cstheme="minorHAnsi"/>
          <w:b/>
          <w:bCs/>
          <w:sz w:val="22"/>
          <w:szCs w:val="22"/>
        </w:rPr>
      </w:pPr>
      <w:r>
        <w:rPr>
          <w:rFonts w:cstheme="minorHAnsi"/>
          <w:b/>
          <w:bCs/>
          <w:sz w:val="22"/>
          <w:szCs w:val="22"/>
        </w:rPr>
        <w:t xml:space="preserve">IV. </w:t>
      </w:r>
      <w:r w:rsidR="00EB7AD4" w:rsidRPr="00904504">
        <w:rPr>
          <w:rFonts w:cstheme="minorHAnsi"/>
          <w:b/>
          <w:bCs/>
          <w:sz w:val="22"/>
          <w:szCs w:val="22"/>
        </w:rPr>
        <w:t>QUALITY ON THE</w:t>
      </w:r>
      <w:r w:rsidR="00120914" w:rsidRPr="00904504">
        <w:rPr>
          <w:rFonts w:cstheme="minorHAnsi"/>
          <w:b/>
          <w:bCs/>
          <w:sz w:val="22"/>
          <w:szCs w:val="22"/>
        </w:rPr>
        <w:t xml:space="preserve"> INDUSTRIAL COURT</w:t>
      </w:r>
    </w:p>
    <w:p w14:paraId="1A91917B" w14:textId="5D86DB8F" w:rsidR="006C2520" w:rsidRDefault="006C2520" w:rsidP="00F770DA">
      <w:pPr>
        <w:spacing w:line="360" w:lineRule="auto"/>
        <w:rPr>
          <w:rFonts w:cstheme="minorHAnsi"/>
          <w:sz w:val="22"/>
          <w:szCs w:val="22"/>
        </w:rPr>
      </w:pPr>
    </w:p>
    <w:p w14:paraId="5ED68A69" w14:textId="4C9CA5DF" w:rsidR="00C0372D" w:rsidRDefault="00B319DA" w:rsidP="00986DC7">
      <w:pPr>
        <w:spacing w:line="360" w:lineRule="auto"/>
        <w:rPr>
          <w:rFonts w:cstheme="minorHAnsi"/>
          <w:sz w:val="22"/>
          <w:szCs w:val="22"/>
        </w:rPr>
      </w:pPr>
      <w:r>
        <w:rPr>
          <w:rFonts w:cstheme="minorHAnsi"/>
          <w:sz w:val="22"/>
          <w:szCs w:val="22"/>
        </w:rPr>
        <w:t>On</w:t>
      </w:r>
      <w:r w:rsidR="00961676">
        <w:rPr>
          <w:rFonts w:cstheme="minorHAnsi"/>
          <w:sz w:val="22"/>
          <w:szCs w:val="22"/>
        </w:rPr>
        <w:t xml:space="preserve"> </w:t>
      </w:r>
      <w:r>
        <w:rPr>
          <w:rFonts w:cstheme="minorHAnsi"/>
          <w:sz w:val="22"/>
          <w:szCs w:val="22"/>
        </w:rPr>
        <w:t xml:space="preserve">the evening of </w:t>
      </w:r>
      <w:r w:rsidR="00953F60">
        <w:rPr>
          <w:rFonts w:cstheme="minorHAnsi"/>
          <w:sz w:val="22"/>
          <w:szCs w:val="22"/>
        </w:rPr>
        <w:t>10 November 1919</w:t>
      </w:r>
      <w:r>
        <w:rPr>
          <w:rFonts w:cstheme="minorHAnsi"/>
          <w:sz w:val="22"/>
          <w:szCs w:val="22"/>
        </w:rPr>
        <w:t xml:space="preserve"> a</w:t>
      </w:r>
      <w:r w:rsidR="002729A1">
        <w:rPr>
          <w:rFonts w:cstheme="minorHAnsi"/>
          <w:sz w:val="22"/>
          <w:szCs w:val="22"/>
        </w:rPr>
        <w:t xml:space="preserve">round 194 MPs, just over a quarter of the House, </w:t>
      </w:r>
      <w:r>
        <w:rPr>
          <w:rFonts w:cstheme="minorHAnsi"/>
          <w:sz w:val="22"/>
          <w:szCs w:val="22"/>
        </w:rPr>
        <w:t>were</w:t>
      </w:r>
      <w:r w:rsidR="002729A1">
        <w:rPr>
          <w:rFonts w:cstheme="minorHAnsi"/>
          <w:sz w:val="22"/>
          <w:szCs w:val="22"/>
        </w:rPr>
        <w:t xml:space="preserve"> present for the </w:t>
      </w:r>
      <w:r w:rsidR="00986DC7">
        <w:rPr>
          <w:rFonts w:cstheme="minorHAnsi"/>
          <w:sz w:val="22"/>
          <w:szCs w:val="22"/>
        </w:rPr>
        <w:t>second reading of the</w:t>
      </w:r>
      <w:r w:rsidR="002729A1">
        <w:rPr>
          <w:rFonts w:cstheme="minorHAnsi"/>
          <w:sz w:val="22"/>
          <w:szCs w:val="22"/>
        </w:rPr>
        <w:t xml:space="preserve"> Coalition Liberal-Conservative Government’s</w:t>
      </w:r>
      <w:r w:rsidR="00986DC7">
        <w:rPr>
          <w:rFonts w:cstheme="minorHAnsi"/>
          <w:sz w:val="22"/>
          <w:szCs w:val="22"/>
        </w:rPr>
        <w:t xml:space="preserve"> Industrial Courts Bill in the House of Commons. </w:t>
      </w:r>
      <w:r w:rsidR="00986DC7" w:rsidRPr="00B10373">
        <w:rPr>
          <w:rFonts w:cstheme="minorHAnsi"/>
          <w:sz w:val="22"/>
          <w:szCs w:val="22"/>
        </w:rPr>
        <w:t>Arising out of a recommendation of the Whitl</w:t>
      </w:r>
      <w:r w:rsidR="00110FA8">
        <w:rPr>
          <w:rFonts w:cstheme="minorHAnsi"/>
          <w:sz w:val="22"/>
          <w:szCs w:val="22"/>
        </w:rPr>
        <w:t>e</w:t>
      </w:r>
      <w:r w:rsidR="00986DC7" w:rsidRPr="00B10373">
        <w:rPr>
          <w:rFonts w:cstheme="minorHAnsi"/>
          <w:sz w:val="22"/>
          <w:szCs w:val="22"/>
        </w:rPr>
        <w:t>y Committee, the</w:t>
      </w:r>
      <w:r w:rsidR="00717F56" w:rsidRPr="00717F56">
        <w:rPr>
          <w:rFonts w:cstheme="minorHAnsi"/>
          <w:sz w:val="22"/>
          <w:szCs w:val="22"/>
        </w:rPr>
        <w:t xml:space="preserve"> </w:t>
      </w:r>
      <w:r w:rsidR="00986DC7">
        <w:rPr>
          <w:rFonts w:cstheme="minorHAnsi"/>
          <w:sz w:val="22"/>
          <w:szCs w:val="22"/>
        </w:rPr>
        <w:t xml:space="preserve">Bill </w:t>
      </w:r>
      <w:r w:rsidR="00247D8E">
        <w:rPr>
          <w:rFonts w:cstheme="minorHAnsi"/>
          <w:sz w:val="22"/>
          <w:szCs w:val="22"/>
        </w:rPr>
        <w:t xml:space="preserve">sought </w:t>
      </w:r>
      <w:r w:rsidR="00986DC7">
        <w:rPr>
          <w:rFonts w:cstheme="minorHAnsi"/>
          <w:sz w:val="22"/>
          <w:szCs w:val="22"/>
        </w:rPr>
        <w:t xml:space="preserve">(among other things) to </w:t>
      </w:r>
      <w:r w:rsidR="00986DC7" w:rsidRPr="00B10373">
        <w:rPr>
          <w:rFonts w:cstheme="minorHAnsi"/>
          <w:sz w:val="22"/>
          <w:szCs w:val="22"/>
        </w:rPr>
        <w:t>establish a</w:t>
      </w:r>
      <w:r w:rsidR="00247D8E">
        <w:rPr>
          <w:rFonts w:cstheme="minorHAnsi"/>
          <w:sz w:val="22"/>
          <w:szCs w:val="22"/>
        </w:rPr>
        <w:t xml:space="preserve">n </w:t>
      </w:r>
      <w:r w:rsidR="00986DC7" w:rsidRPr="00B10373">
        <w:rPr>
          <w:rFonts w:cstheme="minorHAnsi"/>
          <w:sz w:val="22"/>
          <w:szCs w:val="22"/>
        </w:rPr>
        <w:t>Industrial Court</w:t>
      </w:r>
      <w:r w:rsidR="006C7098">
        <w:rPr>
          <w:rFonts w:cstheme="minorHAnsi"/>
          <w:sz w:val="22"/>
          <w:szCs w:val="22"/>
        </w:rPr>
        <w:t>.</w:t>
      </w:r>
      <w:r w:rsidR="00BF3E2A">
        <w:rPr>
          <w:rStyle w:val="FootnoteReference"/>
          <w:rFonts w:cstheme="minorHAnsi"/>
          <w:sz w:val="22"/>
          <w:szCs w:val="22"/>
        </w:rPr>
        <w:footnoteReference w:id="65"/>
      </w:r>
      <w:r w:rsidR="006C7098">
        <w:rPr>
          <w:rFonts w:cstheme="minorHAnsi"/>
          <w:sz w:val="22"/>
          <w:szCs w:val="22"/>
        </w:rPr>
        <w:t xml:space="preserve"> The purpose of</w:t>
      </w:r>
      <w:r w:rsidR="00122115">
        <w:rPr>
          <w:rFonts w:cstheme="minorHAnsi"/>
          <w:sz w:val="22"/>
          <w:szCs w:val="22"/>
        </w:rPr>
        <w:t xml:space="preserve"> which, in</w:t>
      </w:r>
      <w:r w:rsidR="00D76A6D">
        <w:rPr>
          <w:rFonts w:cstheme="minorHAnsi"/>
          <w:sz w:val="22"/>
          <w:szCs w:val="22"/>
        </w:rPr>
        <w:t xml:space="preserve"> the words of Sir Robert Horne, </w:t>
      </w:r>
      <w:r w:rsidR="00D76A6D" w:rsidRPr="0013549F">
        <w:rPr>
          <w:rFonts w:cstheme="minorHAnsi"/>
          <w:sz w:val="22"/>
          <w:szCs w:val="22"/>
        </w:rPr>
        <w:t>Minister for Labour</w:t>
      </w:r>
      <w:r w:rsidR="00D76A6D">
        <w:rPr>
          <w:rFonts w:cstheme="minorHAnsi"/>
          <w:sz w:val="22"/>
          <w:szCs w:val="22"/>
        </w:rPr>
        <w:t xml:space="preserve"> introducing the Bill,</w:t>
      </w:r>
      <w:r w:rsidR="006C7098">
        <w:rPr>
          <w:rFonts w:cstheme="minorHAnsi"/>
          <w:sz w:val="22"/>
          <w:szCs w:val="22"/>
        </w:rPr>
        <w:t xml:space="preserve"> was to</w:t>
      </w:r>
      <w:r w:rsidR="0088780A">
        <w:rPr>
          <w:rFonts w:cstheme="minorHAnsi"/>
          <w:sz w:val="22"/>
          <w:szCs w:val="22"/>
        </w:rPr>
        <w:t xml:space="preserve"> </w:t>
      </w:r>
      <w:r w:rsidR="00122115">
        <w:rPr>
          <w:rFonts w:cstheme="minorHAnsi"/>
          <w:sz w:val="22"/>
          <w:szCs w:val="22"/>
        </w:rPr>
        <w:t xml:space="preserve">establish </w:t>
      </w:r>
      <w:r w:rsidR="0088780A" w:rsidRPr="00B10373">
        <w:rPr>
          <w:rFonts w:cstheme="minorHAnsi"/>
          <w:sz w:val="22"/>
          <w:szCs w:val="22"/>
        </w:rPr>
        <w:t>‘a nucleus of permanent judges’ with the experience and ability ‘to bring a judicial mind to bear</w:t>
      </w:r>
      <w:r w:rsidR="002729A1">
        <w:rPr>
          <w:rFonts w:cstheme="minorHAnsi"/>
          <w:sz w:val="22"/>
          <w:szCs w:val="22"/>
        </w:rPr>
        <w:t>’</w:t>
      </w:r>
      <w:r w:rsidR="00C0372D">
        <w:rPr>
          <w:rFonts w:cstheme="minorHAnsi"/>
          <w:sz w:val="22"/>
          <w:szCs w:val="22"/>
        </w:rPr>
        <w:t xml:space="preserve"> on</w:t>
      </w:r>
      <w:r w:rsidR="006C7098">
        <w:rPr>
          <w:rFonts w:cstheme="minorHAnsi"/>
          <w:sz w:val="22"/>
          <w:szCs w:val="22"/>
        </w:rPr>
        <w:t>,</w:t>
      </w:r>
      <w:r w:rsidR="00A7314B">
        <w:rPr>
          <w:rFonts w:cstheme="minorHAnsi"/>
          <w:sz w:val="22"/>
          <w:szCs w:val="22"/>
        </w:rPr>
        <w:t xml:space="preserve"> </w:t>
      </w:r>
      <w:r w:rsidR="00C0372D">
        <w:rPr>
          <w:rFonts w:cstheme="minorHAnsi"/>
          <w:sz w:val="22"/>
          <w:szCs w:val="22"/>
        </w:rPr>
        <w:t>and</w:t>
      </w:r>
      <w:r w:rsidR="00122115">
        <w:rPr>
          <w:rFonts w:cstheme="minorHAnsi"/>
          <w:sz w:val="22"/>
          <w:szCs w:val="22"/>
        </w:rPr>
        <w:t xml:space="preserve"> </w:t>
      </w:r>
      <w:r w:rsidR="00122115" w:rsidRPr="00B10373">
        <w:rPr>
          <w:rFonts w:cstheme="minorHAnsi"/>
          <w:sz w:val="22"/>
          <w:szCs w:val="22"/>
        </w:rPr>
        <w:t>provide voluntary arbitration in</w:t>
      </w:r>
      <w:r w:rsidR="006C7098">
        <w:rPr>
          <w:rFonts w:cstheme="minorHAnsi"/>
          <w:sz w:val="22"/>
          <w:szCs w:val="22"/>
        </w:rPr>
        <w:t>,</w:t>
      </w:r>
      <w:r w:rsidR="00122115" w:rsidRPr="00B10373">
        <w:rPr>
          <w:rFonts w:cstheme="minorHAnsi"/>
          <w:sz w:val="22"/>
          <w:szCs w:val="22"/>
        </w:rPr>
        <w:t xml:space="preserve"> trade disputes</w:t>
      </w:r>
      <w:r w:rsidR="00D76A6D">
        <w:rPr>
          <w:rFonts w:cstheme="minorHAnsi"/>
          <w:sz w:val="22"/>
          <w:szCs w:val="22"/>
        </w:rPr>
        <w:t>.</w:t>
      </w:r>
      <w:r w:rsidR="000829FD">
        <w:rPr>
          <w:rStyle w:val="FootnoteReference"/>
          <w:rFonts w:cstheme="minorHAnsi"/>
          <w:sz w:val="22"/>
          <w:szCs w:val="22"/>
        </w:rPr>
        <w:footnoteReference w:id="66"/>
      </w:r>
      <w:r w:rsidR="00D76A6D">
        <w:rPr>
          <w:rFonts w:cstheme="minorHAnsi"/>
          <w:sz w:val="22"/>
          <w:szCs w:val="22"/>
        </w:rPr>
        <w:t xml:space="preserve"> </w:t>
      </w:r>
      <w:r w:rsidR="00A7314B">
        <w:rPr>
          <w:rFonts w:cstheme="minorHAnsi"/>
          <w:sz w:val="22"/>
          <w:szCs w:val="22"/>
        </w:rPr>
        <w:t>The intention</w:t>
      </w:r>
      <w:r w:rsidR="00D76A6D">
        <w:rPr>
          <w:rFonts w:cstheme="minorHAnsi"/>
          <w:sz w:val="22"/>
          <w:szCs w:val="22"/>
        </w:rPr>
        <w:t xml:space="preserve"> was to </w:t>
      </w:r>
      <w:r w:rsidR="0088780A">
        <w:rPr>
          <w:rFonts w:cstheme="minorHAnsi"/>
          <w:sz w:val="22"/>
          <w:szCs w:val="22"/>
        </w:rPr>
        <w:t xml:space="preserve">build </w:t>
      </w:r>
      <w:r w:rsidR="00D76A6D">
        <w:rPr>
          <w:rFonts w:cstheme="minorHAnsi"/>
          <w:sz w:val="22"/>
          <w:szCs w:val="22"/>
        </w:rPr>
        <w:t>on</w:t>
      </w:r>
      <w:r w:rsidR="0088780A">
        <w:rPr>
          <w:rFonts w:cstheme="minorHAnsi"/>
          <w:sz w:val="22"/>
          <w:szCs w:val="22"/>
        </w:rPr>
        <w:t xml:space="preserve"> </w:t>
      </w:r>
      <w:r w:rsidR="00595CB5">
        <w:rPr>
          <w:rFonts w:cstheme="minorHAnsi"/>
          <w:sz w:val="22"/>
          <w:szCs w:val="22"/>
        </w:rPr>
        <w:t xml:space="preserve">the success of </w:t>
      </w:r>
      <w:r w:rsidR="00986DC7" w:rsidRPr="00132E6F">
        <w:rPr>
          <w:rFonts w:cstheme="minorHAnsi"/>
          <w:sz w:val="22"/>
          <w:szCs w:val="22"/>
        </w:rPr>
        <w:t>two earlier ad-hoc industrial arbitration bodies</w:t>
      </w:r>
      <w:r w:rsidR="00595CB5">
        <w:rPr>
          <w:rFonts w:cstheme="minorHAnsi"/>
          <w:sz w:val="22"/>
          <w:szCs w:val="22"/>
        </w:rPr>
        <w:t>.</w:t>
      </w:r>
      <w:r w:rsidR="0088780A">
        <w:rPr>
          <w:rFonts w:cstheme="minorHAnsi"/>
          <w:sz w:val="22"/>
          <w:szCs w:val="22"/>
        </w:rPr>
        <w:t xml:space="preserve"> </w:t>
      </w:r>
      <w:r w:rsidR="00595CB5">
        <w:rPr>
          <w:rFonts w:cstheme="minorHAnsi"/>
          <w:sz w:val="22"/>
          <w:szCs w:val="22"/>
        </w:rPr>
        <w:t>T</w:t>
      </w:r>
      <w:r w:rsidR="00986DC7" w:rsidRPr="00132E6F">
        <w:rPr>
          <w:rFonts w:cstheme="minorHAnsi"/>
          <w:sz w:val="22"/>
          <w:szCs w:val="22"/>
        </w:rPr>
        <w:t>here was a strong desire on all sides to continue with established practice</w:t>
      </w:r>
      <w:r w:rsidR="00986DC7">
        <w:rPr>
          <w:rFonts w:cstheme="minorHAnsi"/>
          <w:sz w:val="22"/>
          <w:szCs w:val="22"/>
        </w:rPr>
        <w:t xml:space="preserve"> and </w:t>
      </w:r>
      <w:r w:rsidR="00986DC7" w:rsidRPr="00132E6F">
        <w:rPr>
          <w:rFonts w:cstheme="minorHAnsi"/>
          <w:sz w:val="22"/>
          <w:szCs w:val="22"/>
        </w:rPr>
        <w:t>personnel</w:t>
      </w:r>
      <w:r w:rsidR="00986DC7">
        <w:rPr>
          <w:rFonts w:cstheme="minorHAnsi"/>
          <w:sz w:val="22"/>
          <w:szCs w:val="22"/>
        </w:rPr>
        <w:t xml:space="preserve"> – </w:t>
      </w:r>
      <w:r w:rsidR="00A7314B">
        <w:rPr>
          <w:rFonts w:cstheme="minorHAnsi"/>
          <w:sz w:val="22"/>
          <w:szCs w:val="22"/>
        </w:rPr>
        <w:t>reflected</w:t>
      </w:r>
      <w:r w:rsidR="00122115">
        <w:rPr>
          <w:rFonts w:cstheme="minorHAnsi"/>
          <w:sz w:val="22"/>
          <w:szCs w:val="22"/>
        </w:rPr>
        <w:t xml:space="preserve"> in the fact that </w:t>
      </w:r>
      <w:r w:rsidR="00986DC7">
        <w:rPr>
          <w:rFonts w:cstheme="minorHAnsi"/>
          <w:sz w:val="22"/>
          <w:szCs w:val="22"/>
        </w:rPr>
        <w:t>si</w:t>
      </w:r>
      <w:r w:rsidR="00986DC7" w:rsidRPr="00132E6F">
        <w:rPr>
          <w:rFonts w:cstheme="minorHAnsi"/>
          <w:sz w:val="22"/>
          <w:szCs w:val="22"/>
        </w:rPr>
        <w:t>x of the 1</w:t>
      </w:r>
      <w:r w:rsidR="000829FD">
        <w:rPr>
          <w:rFonts w:cstheme="minorHAnsi"/>
          <w:sz w:val="22"/>
          <w:szCs w:val="22"/>
        </w:rPr>
        <w:t>3</w:t>
      </w:r>
      <w:r w:rsidR="00986DC7" w:rsidRPr="00132E6F">
        <w:rPr>
          <w:rFonts w:cstheme="minorHAnsi"/>
          <w:sz w:val="22"/>
          <w:szCs w:val="22"/>
        </w:rPr>
        <w:t xml:space="preserve"> first appoint</w:t>
      </w:r>
      <w:r w:rsidR="00C0372D">
        <w:rPr>
          <w:rFonts w:cstheme="minorHAnsi"/>
          <w:sz w:val="22"/>
          <w:szCs w:val="22"/>
        </w:rPr>
        <w:t>ments</w:t>
      </w:r>
      <w:r w:rsidR="00986DC7" w:rsidRPr="00132E6F">
        <w:rPr>
          <w:rFonts w:cstheme="minorHAnsi"/>
          <w:sz w:val="22"/>
          <w:szCs w:val="22"/>
        </w:rPr>
        <w:t xml:space="preserve"> to the Industrial Court, including </w:t>
      </w:r>
      <w:r w:rsidR="00986DC7">
        <w:rPr>
          <w:rFonts w:cstheme="minorHAnsi"/>
          <w:sz w:val="22"/>
          <w:szCs w:val="22"/>
        </w:rPr>
        <w:t xml:space="preserve">its </w:t>
      </w:r>
      <w:r w:rsidR="00986DC7" w:rsidRPr="00132E6F">
        <w:rPr>
          <w:rFonts w:cstheme="minorHAnsi"/>
          <w:sz w:val="22"/>
          <w:szCs w:val="22"/>
        </w:rPr>
        <w:t xml:space="preserve">first President, Sir William Mackenzie, </w:t>
      </w:r>
      <w:r w:rsidR="00122115">
        <w:rPr>
          <w:rFonts w:cstheme="minorHAnsi"/>
          <w:sz w:val="22"/>
          <w:szCs w:val="22"/>
        </w:rPr>
        <w:t>had</w:t>
      </w:r>
      <w:r w:rsidR="00986DC7" w:rsidRPr="00132E6F">
        <w:rPr>
          <w:rFonts w:cstheme="minorHAnsi"/>
          <w:sz w:val="22"/>
          <w:szCs w:val="22"/>
        </w:rPr>
        <w:t xml:space="preserve"> served </w:t>
      </w:r>
      <w:r w:rsidR="005A1EA8">
        <w:rPr>
          <w:rFonts w:cstheme="minorHAnsi"/>
          <w:sz w:val="22"/>
          <w:szCs w:val="22"/>
        </w:rPr>
        <w:t xml:space="preserve">on </w:t>
      </w:r>
      <w:r w:rsidR="00986DC7" w:rsidRPr="00132E6F">
        <w:rPr>
          <w:rFonts w:cstheme="minorHAnsi"/>
          <w:sz w:val="22"/>
          <w:szCs w:val="22"/>
        </w:rPr>
        <w:t xml:space="preserve">one or </w:t>
      </w:r>
      <w:proofErr w:type="gramStart"/>
      <w:r w:rsidR="00986DC7" w:rsidRPr="00132E6F">
        <w:rPr>
          <w:rFonts w:cstheme="minorHAnsi"/>
          <w:sz w:val="22"/>
          <w:szCs w:val="22"/>
        </w:rPr>
        <w:t xml:space="preserve">both </w:t>
      </w:r>
      <w:r w:rsidR="00986DC7">
        <w:rPr>
          <w:rFonts w:cstheme="minorHAnsi"/>
          <w:sz w:val="22"/>
          <w:szCs w:val="22"/>
        </w:rPr>
        <w:t>of the earlier</w:t>
      </w:r>
      <w:proofErr w:type="gramEnd"/>
      <w:r w:rsidR="00986DC7">
        <w:rPr>
          <w:rFonts w:cstheme="minorHAnsi"/>
          <w:sz w:val="22"/>
          <w:szCs w:val="22"/>
        </w:rPr>
        <w:t xml:space="preserve"> </w:t>
      </w:r>
      <w:r w:rsidR="00986DC7" w:rsidRPr="00132E6F">
        <w:rPr>
          <w:rFonts w:cstheme="minorHAnsi"/>
          <w:sz w:val="22"/>
          <w:szCs w:val="22"/>
        </w:rPr>
        <w:t xml:space="preserve">bodies. </w:t>
      </w:r>
      <w:r w:rsidR="00E46498">
        <w:rPr>
          <w:rFonts w:cstheme="minorHAnsi"/>
          <w:sz w:val="22"/>
          <w:szCs w:val="22"/>
        </w:rPr>
        <w:t xml:space="preserve">So too had </w:t>
      </w:r>
      <w:r w:rsidR="00986DC7" w:rsidRPr="00132E6F">
        <w:rPr>
          <w:rFonts w:cstheme="minorHAnsi"/>
          <w:sz w:val="22"/>
          <w:szCs w:val="22"/>
        </w:rPr>
        <w:t xml:space="preserve">Lucy </w:t>
      </w:r>
      <w:r w:rsidR="00986DC7" w:rsidRPr="00492A72">
        <w:rPr>
          <w:rFonts w:cstheme="minorHAnsi"/>
          <w:sz w:val="22"/>
          <w:szCs w:val="22"/>
        </w:rPr>
        <w:t xml:space="preserve">Deane </w:t>
      </w:r>
      <w:proofErr w:type="spellStart"/>
      <w:r w:rsidR="00986DC7" w:rsidRPr="00492A72">
        <w:rPr>
          <w:rFonts w:cstheme="minorHAnsi"/>
          <w:sz w:val="22"/>
          <w:szCs w:val="22"/>
        </w:rPr>
        <w:t>Streatfeild</w:t>
      </w:r>
      <w:proofErr w:type="spellEnd"/>
      <w:r w:rsidR="002E0BDE">
        <w:rPr>
          <w:rFonts w:cstheme="minorHAnsi"/>
          <w:sz w:val="22"/>
          <w:szCs w:val="22"/>
        </w:rPr>
        <w:t>,</w:t>
      </w:r>
      <w:r w:rsidR="00122115">
        <w:rPr>
          <w:rFonts w:cstheme="minorHAnsi"/>
          <w:sz w:val="22"/>
          <w:szCs w:val="22"/>
        </w:rPr>
        <w:t xml:space="preserve"> </w:t>
      </w:r>
      <w:r w:rsidR="00986DC7" w:rsidRPr="00132E6F">
        <w:rPr>
          <w:rFonts w:cstheme="minorHAnsi"/>
          <w:sz w:val="22"/>
          <w:szCs w:val="22"/>
        </w:rPr>
        <w:t>one of</w:t>
      </w:r>
      <w:r w:rsidR="005A1EA8">
        <w:rPr>
          <w:rFonts w:cstheme="minorHAnsi"/>
          <w:sz w:val="22"/>
          <w:szCs w:val="22"/>
        </w:rPr>
        <w:t xml:space="preserve"> the</w:t>
      </w:r>
      <w:r w:rsidR="00986DC7" w:rsidRPr="00132E6F">
        <w:rPr>
          <w:rFonts w:cstheme="minorHAnsi"/>
          <w:sz w:val="22"/>
          <w:szCs w:val="22"/>
        </w:rPr>
        <w:t xml:space="preserve"> first women factory inspectors</w:t>
      </w:r>
      <w:r w:rsidR="00717F56">
        <w:rPr>
          <w:rFonts w:cstheme="minorHAnsi"/>
          <w:sz w:val="22"/>
          <w:szCs w:val="22"/>
        </w:rPr>
        <w:t xml:space="preserve"> </w:t>
      </w:r>
      <w:r w:rsidR="00122115">
        <w:rPr>
          <w:rFonts w:cstheme="minorHAnsi"/>
          <w:sz w:val="22"/>
          <w:szCs w:val="22"/>
        </w:rPr>
        <w:t>overseeing</w:t>
      </w:r>
      <w:r w:rsidR="006C7098">
        <w:rPr>
          <w:rFonts w:cstheme="minorHAnsi"/>
          <w:sz w:val="22"/>
          <w:szCs w:val="22"/>
        </w:rPr>
        <w:t xml:space="preserve"> over</w:t>
      </w:r>
      <w:r w:rsidR="00122115">
        <w:rPr>
          <w:rFonts w:cstheme="minorHAnsi"/>
          <w:sz w:val="22"/>
          <w:szCs w:val="22"/>
        </w:rPr>
        <w:t xml:space="preserve"> 4000 workshops in west London </w:t>
      </w:r>
      <w:r w:rsidR="007B4FA9">
        <w:rPr>
          <w:rFonts w:cstheme="minorHAnsi"/>
          <w:sz w:val="22"/>
          <w:szCs w:val="22"/>
        </w:rPr>
        <w:t>and a member of various trade boards.</w:t>
      </w:r>
      <w:r w:rsidR="00122115">
        <w:rPr>
          <w:rFonts w:cstheme="minorHAnsi"/>
          <w:sz w:val="22"/>
          <w:szCs w:val="22"/>
        </w:rPr>
        <w:t xml:space="preserve"> She would later become </w:t>
      </w:r>
      <w:r w:rsidR="00986DC7" w:rsidRPr="00132E6F">
        <w:rPr>
          <w:rFonts w:cstheme="minorHAnsi"/>
          <w:sz w:val="22"/>
          <w:szCs w:val="22"/>
        </w:rPr>
        <w:t>one of the first women magistrates</w:t>
      </w:r>
      <w:r w:rsidR="00E46498">
        <w:rPr>
          <w:rFonts w:cstheme="minorHAnsi"/>
          <w:sz w:val="22"/>
          <w:szCs w:val="22"/>
        </w:rPr>
        <w:t xml:space="preserve">. </w:t>
      </w:r>
    </w:p>
    <w:p w14:paraId="06C16549" w14:textId="77777777" w:rsidR="00C0372D" w:rsidRDefault="00C0372D" w:rsidP="00986DC7">
      <w:pPr>
        <w:spacing w:line="360" w:lineRule="auto"/>
        <w:rPr>
          <w:rFonts w:cstheme="minorHAnsi"/>
          <w:sz w:val="22"/>
          <w:szCs w:val="22"/>
        </w:rPr>
      </w:pPr>
    </w:p>
    <w:p w14:paraId="14D142C0" w14:textId="054EFFAB" w:rsidR="00986DC7" w:rsidRDefault="00E46498" w:rsidP="00986DC7">
      <w:pPr>
        <w:spacing w:line="360" w:lineRule="auto"/>
        <w:rPr>
          <w:rFonts w:cstheme="minorHAnsi"/>
          <w:sz w:val="22"/>
          <w:szCs w:val="22"/>
        </w:rPr>
      </w:pPr>
      <w:r>
        <w:rPr>
          <w:rFonts w:cstheme="minorHAnsi"/>
          <w:sz w:val="22"/>
          <w:szCs w:val="22"/>
        </w:rPr>
        <w:t>However</w:t>
      </w:r>
      <w:r w:rsidRPr="00132E6F">
        <w:rPr>
          <w:rFonts w:cstheme="minorHAnsi"/>
          <w:sz w:val="22"/>
          <w:szCs w:val="22"/>
        </w:rPr>
        <w:t xml:space="preserve">, despite women having been members of the forerunners to the Industrial Court </w:t>
      </w:r>
      <w:r w:rsidR="00986DC7" w:rsidRPr="00132E6F">
        <w:rPr>
          <w:rFonts w:cstheme="minorHAnsi"/>
          <w:sz w:val="22"/>
          <w:szCs w:val="22"/>
        </w:rPr>
        <w:t xml:space="preserve">there was no specific mention of women members in the original </w:t>
      </w:r>
      <w:r w:rsidR="008803BC">
        <w:rPr>
          <w:rFonts w:cstheme="minorHAnsi"/>
          <w:sz w:val="22"/>
          <w:szCs w:val="22"/>
        </w:rPr>
        <w:t>b</w:t>
      </w:r>
      <w:r w:rsidR="00986DC7" w:rsidRPr="00132E6F">
        <w:rPr>
          <w:rFonts w:cstheme="minorHAnsi"/>
          <w:sz w:val="22"/>
          <w:szCs w:val="22"/>
        </w:rPr>
        <w:t>ill. One reason for this may have been that</w:t>
      </w:r>
      <w:r w:rsidR="00A7314B">
        <w:rPr>
          <w:rFonts w:cstheme="minorHAnsi"/>
          <w:sz w:val="22"/>
          <w:szCs w:val="22"/>
        </w:rPr>
        <w:t xml:space="preserve"> </w:t>
      </w:r>
      <w:r w:rsidR="00986DC7" w:rsidRPr="00132E6F">
        <w:rPr>
          <w:rFonts w:cstheme="minorHAnsi"/>
          <w:sz w:val="22"/>
          <w:szCs w:val="22"/>
        </w:rPr>
        <w:t xml:space="preserve">women’s presence had become so integral to the operation of the earlier bodies that their inclusion was self-evident and did not need </w:t>
      </w:r>
      <w:r w:rsidR="00717F56">
        <w:rPr>
          <w:rFonts w:cstheme="minorHAnsi"/>
          <w:sz w:val="22"/>
          <w:szCs w:val="22"/>
        </w:rPr>
        <w:t>special</w:t>
      </w:r>
      <w:r w:rsidR="00986DC7" w:rsidRPr="00132E6F">
        <w:rPr>
          <w:rFonts w:cstheme="minorHAnsi"/>
          <w:sz w:val="22"/>
          <w:szCs w:val="22"/>
        </w:rPr>
        <w:t xml:space="preserve"> demarcation. Their presence was not only assumed but assured. Or maybe, </w:t>
      </w:r>
      <w:r w:rsidR="00C34623">
        <w:rPr>
          <w:rFonts w:cstheme="minorHAnsi"/>
          <w:sz w:val="22"/>
          <w:szCs w:val="22"/>
        </w:rPr>
        <w:t xml:space="preserve">as </w:t>
      </w:r>
      <w:r w:rsidR="008803BC">
        <w:rPr>
          <w:rFonts w:cstheme="minorHAnsi"/>
          <w:sz w:val="22"/>
          <w:szCs w:val="22"/>
        </w:rPr>
        <w:t xml:space="preserve">was argued by </w:t>
      </w:r>
      <w:r w:rsidR="0045786C">
        <w:rPr>
          <w:rFonts w:cstheme="minorHAnsi"/>
          <w:sz w:val="22"/>
          <w:szCs w:val="22"/>
        </w:rPr>
        <w:t xml:space="preserve">Ernest </w:t>
      </w:r>
      <w:r w:rsidR="00D16656">
        <w:rPr>
          <w:rFonts w:cstheme="minorHAnsi"/>
          <w:sz w:val="22"/>
          <w:szCs w:val="22"/>
        </w:rPr>
        <w:t>Pollock</w:t>
      </w:r>
      <w:r w:rsidR="008803BC">
        <w:rPr>
          <w:rFonts w:cstheme="minorHAnsi"/>
          <w:sz w:val="22"/>
          <w:szCs w:val="22"/>
        </w:rPr>
        <w:t xml:space="preserve"> MP, </w:t>
      </w:r>
      <w:r w:rsidR="008A415E">
        <w:rPr>
          <w:rFonts w:cstheme="minorHAnsi"/>
          <w:sz w:val="22"/>
          <w:szCs w:val="22"/>
        </w:rPr>
        <w:t xml:space="preserve">the </w:t>
      </w:r>
      <w:r w:rsidR="008803BC">
        <w:rPr>
          <w:rFonts w:cstheme="minorHAnsi"/>
          <w:sz w:val="22"/>
          <w:szCs w:val="22"/>
        </w:rPr>
        <w:t>then Solicitor General,</w:t>
      </w:r>
      <w:r w:rsidR="00986DC7" w:rsidRPr="00132E6F">
        <w:rPr>
          <w:rFonts w:cstheme="minorHAnsi"/>
          <w:sz w:val="22"/>
          <w:szCs w:val="22"/>
        </w:rPr>
        <w:t xml:space="preserve"> the soon-to-be enacted Sex </w:t>
      </w:r>
      <w:r w:rsidR="00D60129">
        <w:rPr>
          <w:rFonts w:cstheme="minorHAnsi"/>
          <w:sz w:val="22"/>
          <w:szCs w:val="22"/>
        </w:rPr>
        <w:t>Disqualification</w:t>
      </w:r>
      <w:r w:rsidR="00986DC7" w:rsidRPr="00132E6F">
        <w:rPr>
          <w:rFonts w:cstheme="minorHAnsi"/>
          <w:sz w:val="22"/>
          <w:szCs w:val="22"/>
        </w:rPr>
        <w:t xml:space="preserve"> (Removal) </w:t>
      </w:r>
      <w:r w:rsidR="008A415E">
        <w:rPr>
          <w:rFonts w:cstheme="minorHAnsi"/>
          <w:sz w:val="22"/>
          <w:szCs w:val="22"/>
        </w:rPr>
        <w:t>Bill</w:t>
      </w:r>
      <w:r w:rsidR="00986DC7" w:rsidRPr="00132E6F">
        <w:rPr>
          <w:rFonts w:cstheme="minorHAnsi"/>
          <w:sz w:val="22"/>
          <w:szCs w:val="22"/>
        </w:rPr>
        <w:t xml:space="preserve"> 1919 </w:t>
      </w:r>
      <w:r w:rsidR="008A415E">
        <w:rPr>
          <w:rFonts w:cstheme="minorHAnsi"/>
          <w:sz w:val="22"/>
          <w:szCs w:val="22"/>
        </w:rPr>
        <w:t>(which</w:t>
      </w:r>
      <w:r w:rsidR="005A1EA8">
        <w:rPr>
          <w:rFonts w:cstheme="minorHAnsi"/>
          <w:sz w:val="22"/>
          <w:szCs w:val="22"/>
        </w:rPr>
        <w:t xml:space="preserve"> was</w:t>
      </w:r>
      <w:r w:rsidR="008A415E">
        <w:rPr>
          <w:rFonts w:cstheme="minorHAnsi"/>
          <w:sz w:val="22"/>
          <w:szCs w:val="22"/>
        </w:rPr>
        <w:t xml:space="preserve"> making its way through parliament at the same time as the Industrial Courts </w:t>
      </w:r>
      <w:r w:rsidR="006A11B6">
        <w:rPr>
          <w:rFonts w:cstheme="minorHAnsi"/>
          <w:sz w:val="22"/>
          <w:szCs w:val="22"/>
        </w:rPr>
        <w:t>Bill</w:t>
      </w:r>
      <w:r w:rsidR="008A415E">
        <w:rPr>
          <w:rFonts w:cstheme="minorHAnsi"/>
          <w:sz w:val="22"/>
          <w:szCs w:val="22"/>
        </w:rPr>
        <w:t xml:space="preserve">) </w:t>
      </w:r>
      <w:r w:rsidR="00986DC7" w:rsidRPr="00132E6F">
        <w:rPr>
          <w:rFonts w:cstheme="minorHAnsi"/>
          <w:sz w:val="22"/>
          <w:szCs w:val="22"/>
        </w:rPr>
        <w:t>would render any such provision superfluous.</w:t>
      </w:r>
      <w:r w:rsidR="000829FD">
        <w:rPr>
          <w:rStyle w:val="FootnoteReference"/>
          <w:rFonts w:cstheme="minorHAnsi"/>
          <w:sz w:val="22"/>
          <w:szCs w:val="22"/>
        </w:rPr>
        <w:footnoteReference w:id="67"/>
      </w:r>
      <w:r w:rsidR="00986DC7" w:rsidRPr="00132E6F">
        <w:rPr>
          <w:rFonts w:cstheme="minorHAnsi"/>
          <w:sz w:val="22"/>
          <w:szCs w:val="22"/>
        </w:rPr>
        <w:t xml:space="preserve"> Certainly</w:t>
      </w:r>
      <w:r w:rsidR="007B4FA9">
        <w:rPr>
          <w:rFonts w:cstheme="minorHAnsi"/>
          <w:sz w:val="22"/>
          <w:szCs w:val="22"/>
        </w:rPr>
        <w:t>,</w:t>
      </w:r>
      <w:r w:rsidR="00986DC7" w:rsidRPr="00132E6F">
        <w:rPr>
          <w:rFonts w:cstheme="minorHAnsi"/>
          <w:sz w:val="22"/>
          <w:szCs w:val="22"/>
        </w:rPr>
        <w:t xml:space="preserve"> there is nothing in the</w:t>
      </w:r>
      <w:r w:rsidR="000E557B">
        <w:rPr>
          <w:rFonts w:cstheme="minorHAnsi"/>
          <w:sz w:val="22"/>
          <w:szCs w:val="22"/>
        </w:rPr>
        <w:t xml:space="preserve"> </w:t>
      </w:r>
      <w:r w:rsidR="005D132E">
        <w:rPr>
          <w:rFonts w:cstheme="minorHAnsi"/>
          <w:sz w:val="22"/>
          <w:szCs w:val="22"/>
        </w:rPr>
        <w:t xml:space="preserve">course </w:t>
      </w:r>
      <w:r w:rsidR="000E557B">
        <w:rPr>
          <w:rFonts w:cstheme="minorHAnsi"/>
          <w:sz w:val="22"/>
          <w:szCs w:val="22"/>
        </w:rPr>
        <w:t>of the</w:t>
      </w:r>
      <w:r w:rsidR="00986DC7" w:rsidRPr="00132E6F">
        <w:rPr>
          <w:rFonts w:cstheme="minorHAnsi"/>
          <w:sz w:val="22"/>
          <w:szCs w:val="22"/>
        </w:rPr>
        <w:t xml:space="preserve"> parliamentary debates to suggest that the </w:t>
      </w:r>
      <w:r w:rsidR="008803BC">
        <w:rPr>
          <w:rFonts w:cstheme="minorHAnsi"/>
          <w:sz w:val="22"/>
          <w:szCs w:val="22"/>
        </w:rPr>
        <w:t>C</w:t>
      </w:r>
      <w:r w:rsidR="00986DC7" w:rsidRPr="00132E6F">
        <w:rPr>
          <w:rFonts w:cstheme="minorHAnsi"/>
          <w:sz w:val="22"/>
          <w:szCs w:val="22"/>
        </w:rPr>
        <w:t xml:space="preserve">ourt would </w:t>
      </w:r>
      <w:r w:rsidR="00986DC7" w:rsidRPr="008803BC">
        <w:rPr>
          <w:rFonts w:cstheme="minorHAnsi"/>
          <w:sz w:val="22"/>
          <w:szCs w:val="22"/>
        </w:rPr>
        <w:t>not, when appropriate, positively</w:t>
      </w:r>
      <w:r w:rsidR="00986DC7" w:rsidRPr="00132E6F">
        <w:rPr>
          <w:rFonts w:cstheme="minorHAnsi"/>
          <w:sz w:val="22"/>
          <w:szCs w:val="22"/>
        </w:rPr>
        <w:t xml:space="preserve"> welcome women’s ‘knowledge and experience’ in its deliberations.</w:t>
      </w:r>
      <w:r w:rsidR="000829FD">
        <w:rPr>
          <w:rStyle w:val="FootnoteReference"/>
          <w:rFonts w:cstheme="minorHAnsi"/>
          <w:sz w:val="22"/>
          <w:szCs w:val="22"/>
        </w:rPr>
        <w:footnoteReference w:id="68"/>
      </w:r>
      <w:r w:rsidR="00986DC7" w:rsidRPr="00132E6F">
        <w:rPr>
          <w:rFonts w:cstheme="minorHAnsi"/>
          <w:sz w:val="22"/>
          <w:szCs w:val="22"/>
        </w:rPr>
        <w:t xml:space="preserve"> But </w:t>
      </w:r>
      <w:r w:rsidR="007B4FA9">
        <w:rPr>
          <w:rFonts w:cstheme="minorHAnsi"/>
          <w:sz w:val="22"/>
          <w:szCs w:val="22"/>
        </w:rPr>
        <w:t>nor</w:t>
      </w:r>
      <w:r w:rsidR="00986DC7" w:rsidRPr="00132E6F">
        <w:rPr>
          <w:rFonts w:cstheme="minorHAnsi"/>
          <w:sz w:val="22"/>
          <w:szCs w:val="22"/>
        </w:rPr>
        <w:t xml:space="preserve"> was there anything to </w:t>
      </w:r>
      <w:r w:rsidR="007B4FA9">
        <w:rPr>
          <w:rFonts w:cstheme="minorHAnsi"/>
          <w:sz w:val="22"/>
          <w:szCs w:val="22"/>
        </w:rPr>
        <w:t>ensure</w:t>
      </w:r>
      <w:r w:rsidR="00986DC7" w:rsidRPr="00132E6F">
        <w:rPr>
          <w:rFonts w:cstheme="minorHAnsi"/>
          <w:sz w:val="22"/>
          <w:szCs w:val="22"/>
        </w:rPr>
        <w:t xml:space="preserve"> </w:t>
      </w:r>
      <w:r w:rsidR="000E557B">
        <w:rPr>
          <w:rFonts w:cstheme="minorHAnsi"/>
          <w:sz w:val="22"/>
          <w:szCs w:val="22"/>
        </w:rPr>
        <w:t>that</w:t>
      </w:r>
      <w:r w:rsidR="00986DC7" w:rsidRPr="00132E6F">
        <w:rPr>
          <w:rFonts w:cstheme="minorHAnsi"/>
          <w:sz w:val="22"/>
          <w:szCs w:val="22"/>
        </w:rPr>
        <w:t xml:space="preserve"> this would be</w:t>
      </w:r>
      <w:r w:rsidR="00717F56">
        <w:rPr>
          <w:rFonts w:cstheme="minorHAnsi"/>
          <w:sz w:val="22"/>
          <w:szCs w:val="22"/>
        </w:rPr>
        <w:t xml:space="preserve"> the case,</w:t>
      </w:r>
      <w:r w:rsidR="00986DC7" w:rsidRPr="00132E6F">
        <w:rPr>
          <w:rFonts w:cstheme="minorHAnsi"/>
          <w:sz w:val="22"/>
          <w:szCs w:val="22"/>
        </w:rPr>
        <w:t xml:space="preserve"> or</w:t>
      </w:r>
      <w:r w:rsidR="000E557B">
        <w:rPr>
          <w:rFonts w:cstheme="minorHAnsi"/>
          <w:sz w:val="22"/>
          <w:szCs w:val="22"/>
        </w:rPr>
        <w:t xml:space="preserve"> – importantly – </w:t>
      </w:r>
      <w:r w:rsidR="00986DC7" w:rsidRPr="00132E6F">
        <w:rPr>
          <w:rFonts w:cstheme="minorHAnsi"/>
          <w:sz w:val="22"/>
          <w:szCs w:val="22"/>
        </w:rPr>
        <w:t xml:space="preserve">to secure their equal footing around the table when they did </w:t>
      </w:r>
      <w:r w:rsidR="007B4FA9">
        <w:rPr>
          <w:rFonts w:cstheme="minorHAnsi"/>
          <w:sz w:val="22"/>
          <w:szCs w:val="22"/>
        </w:rPr>
        <w:t>join</w:t>
      </w:r>
      <w:r w:rsidR="00986DC7" w:rsidRPr="00132E6F">
        <w:rPr>
          <w:rFonts w:cstheme="minorHAnsi"/>
          <w:sz w:val="22"/>
          <w:szCs w:val="22"/>
        </w:rPr>
        <w:t>.</w:t>
      </w:r>
    </w:p>
    <w:p w14:paraId="5CB4C50E" w14:textId="0C1625DF" w:rsidR="00953F60" w:rsidRDefault="00953F60" w:rsidP="00F770DA">
      <w:pPr>
        <w:spacing w:line="360" w:lineRule="auto"/>
        <w:rPr>
          <w:rFonts w:cstheme="minorHAnsi"/>
          <w:sz w:val="22"/>
          <w:szCs w:val="22"/>
        </w:rPr>
      </w:pPr>
    </w:p>
    <w:p w14:paraId="42BD331F" w14:textId="067ED79C" w:rsidR="000829FD" w:rsidRDefault="00717F56" w:rsidP="00F770DA">
      <w:pPr>
        <w:spacing w:line="360" w:lineRule="auto"/>
        <w:rPr>
          <w:rFonts w:cstheme="minorHAnsi"/>
          <w:sz w:val="22"/>
          <w:szCs w:val="22"/>
        </w:rPr>
      </w:pPr>
      <w:r>
        <w:rPr>
          <w:rFonts w:cstheme="minorHAnsi"/>
          <w:sz w:val="22"/>
          <w:szCs w:val="22"/>
        </w:rPr>
        <w:lastRenderedPageBreak/>
        <w:t xml:space="preserve">Enter </w:t>
      </w:r>
      <w:r w:rsidR="0048257F">
        <w:rPr>
          <w:rFonts w:cstheme="minorHAnsi"/>
          <w:sz w:val="22"/>
          <w:szCs w:val="22"/>
        </w:rPr>
        <w:t>Alexander Shaw</w:t>
      </w:r>
      <w:r w:rsidR="002E0BDE">
        <w:rPr>
          <w:rFonts w:cstheme="minorHAnsi"/>
          <w:sz w:val="22"/>
          <w:szCs w:val="22"/>
        </w:rPr>
        <w:t xml:space="preserve"> MP</w:t>
      </w:r>
      <w:r w:rsidR="0048257F">
        <w:rPr>
          <w:rFonts w:cstheme="minorHAnsi"/>
          <w:sz w:val="22"/>
          <w:szCs w:val="22"/>
        </w:rPr>
        <w:t>, a member of the Scottish Liberal Party</w:t>
      </w:r>
      <w:r w:rsidR="00E46498">
        <w:rPr>
          <w:rFonts w:cstheme="minorHAnsi"/>
          <w:sz w:val="22"/>
          <w:szCs w:val="22"/>
        </w:rPr>
        <w:t xml:space="preserve">. He introduced an </w:t>
      </w:r>
      <w:r w:rsidR="00132E6F" w:rsidRPr="00132E6F">
        <w:rPr>
          <w:rFonts w:cstheme="minorHAnsi"/>
          <w:sz w:val="22"/>
          <w:szCs w:val="22"/>
        </w:rPr>
        <w:t>amendment requiring the presence of one or more wom</w:t>
      </w:r>
      <w:r w:rsidR="00132E6F" w:rsidRPr="00492A72">
        <w:rPr>
          <w:rFonts w:cstheme="minorHAnsi"/>
          <w:sz w:val="22"/>
          <w:szCs w:val="22"/>
        </w:rPr>
        <w:t xml:space="preserve">en </w:t>
      </w:r>
      <w:r w:rsidR="000E557B" w:rsidRPr="00492A72">
        <w:rPr>
          <w:rFonts w:cstheme="minorHAnsi"/>
          <w:sz w:val="22"/>
          <w:szCs w:val="22"/>
        </w:rPr>
        <w:t>on the Court</w:t>
      </w:r>
      <w:r w:rsidR="000829FD">
        <w:rPr>
          <w:rFonts w:cstheme="minorHAnsi"/>
          <w:sz w:val="22"/>
          <w:szCs w:val="22"/>
        </w:rPr>
        <w:t xml:space="preserve">. He </w:t>
      </w:r>
      <w:r w:rsidR="005A1EA8">
        <w:rPr>
          <w:rFonts w:cstheme="minorHAnsi"/>
          <w:sz w:val="22"/>
          <w:szCs w:val="22"/>
        </w:rPr>
        <w:t>argued</w:t>
      </w:r>
      <w:r w:rsidR="000829FD">
        <w:rPr>
          <w:rFonts w:cstheme="minorHAnsi"/>
          <w:sz w:val="22"/>
          <w:szCs w:val="22"/>
        </w:rPr>
        <w:t xml:space="preserve">: </w:t>
      </w:r>
    </w:p>
    <w:p w14:paraId="5BC5CE71" w14:textId="7EEBAF84" w:rsidR="006C7098" w:rsidRDefault="000829FD" w:rsidP="002E0BDE">
      <w:pPr>
        <w:spacing w:line="360" w:lineRule="auto"/>
        <w:ind w:left="720"/>
        <w:rPr>
          <w:rFonts w:cstheme="minorHAnsi"/>
          <w:sz w:val="22"/>
          <w:szCs w:val="22"/>
        </w:rPr>
      </w:pPr>
      <w:r w:rsidRPr="000829FD">
        <w:rPr>
          <w:rFonts w:cstheme="minorHAnsi"/>
          <w:sz w:val="22"/>
          <w:szCs w:val="22"/>
        </w:rPr>
        <w:t>My own experience for some fourteen months as chairman of an Arbitration Tribunal with women as colleagues was that the experience of women in dealing with these women's cases was quite invaluable. I cannot imagine any Arbitration Tribunals dealing efficiently with cases in which women are concerned without the experience and guidance of women who have made a special study of these matters</w:t>
      </w:r>
      <w:r w:rsidR="00125682">
        <w:rPr>
          <w:rFonts w:cstheme="minorHAnsi"/>
          <w:sz w:val="22"/>
          <w:szCs w:val="22"/>
        </w:rPr>
        <w:t>.</w:t>
      </w:r>
      <w:r>
        <w:rPr>
          <w:rStyle w:val="FootnoteReference"/>
          <w:rFonts w:cstheme="minorHAnsi"/>
          <w:sz w:val="22"/>
          <w:szCs w:val="22"/>
        </w:rPr>
        <w:footnoteReference w:id="69"/>
      </w:r>
      <w:r w:rsidR="00125682">
        <w:rPr>
          <w:rFonts w:cstheme="minorHAnsi"/>
          <w:sz w:val="22"/>
          <w:szCs w:val="22"/>
        </w:rPr>
        <w:t xml:space="preserve"> </w:t>
      </w:r>
    </w:p>
    <w:p w14:paraId="0B87118A" w14:textId="6074012C" w:rsidR="00247D8E" w:rsidRDefault="000829FD" w:rsidP="000829FD">
      <w:pPr>
        <w:spacing w:line="360" w:lineRule="auto"/>
        <w:rPr>
          <w:rFonts w:cstheme="minorHAnsi"/>
          <w:sz w:val="22"/>
          <w:szCs w:val="22"/>
        </w:rPr>
      </w:pPr>
      <w:r>
        <w:rPr>
          <w:rFonts w:cstheme="minorHAnsi"/>
          <w:sz w:val="22"/>
          <w:szCs w:val="22"/>
        </w:rPr>
        <w:t>Women members, he argued, through their ‘</w:t>
      </w:r>
      <w:r w:rsidRPr="000829FD">
        <w:rPr>
          <w:rFonts w:cstheme="minorHAnsi"/>
          <w:sz w:val="22"/>
          <w:szCs w:val="22"/>
        </w:rPr>
        <w:t>experience and</w:t>
      </w:r>
      <w:r>
        <w:rPr>
          <w:rFonts w:cstheme="minorHAnsi"/>
          <w:sz w:val="22"/>
          <w:szCs w:val="22"/>
        </w:rPr>
        <w:t xml:space="preserve"> </w:t>
      </w:r>
      <w:r w:rsidRPr="000829FD">
        <w:rPr>
          <w:rFonts w:cstheme="minorHAnsi"/>
          <w:sz w:val="22"/>
          <w:szCs w:val="22"/>
        </w:rPr>
        <w:t>knowledge</w:t>
      </w:r>
      <w:r>
        <w:rPr>
          <w:rFonts w:cstheme="minorHAnsi"/>
          <w:sz w:val="22"/>
          <w:szCs w:val="22"/>
        </w:rPr>
        <w:t xml:space="preserve">’ </w:t>
      </w:r>
      <w:r w:rsidR="008A415E">
        <w:rPr>
          <w:rFonts w:cstheme="minorHAnsi"/>
          <w:sz w:val="22"/>
          <w:szCs w:val="22"/>
        </w:rPr>
        <w:t xml:space="preserve">would </w:t>
      </w:r>
      <w:r>
        <w:rPr>
          <w:rFonts w:cstheme="minorHAnsi"/>
          <w:sz w:val="22"/>
          <w:szCs w:val="22"/>
        </w:rPr>
        <w:t xml:space="preserve">add to the </w:t>
      </w:r>
      <w:r w:rsidR="00785480">
        <w:rPr>
          <w:rFonts w:cstheme="minorHAnsi"/>
          <w:sz w:val="22"/>
          <w:szCs w:val="22"/>
        </w:rPr>
        <w:t>‘strengt</w:t>
      </w:r>
      <w:r>
        <w:rPr>
          <w:rFonts w:cstheme="minorHAnsi"/>
          <w:sz w:val="22"/>
          <w:szCs w:val="22"/>
        </w:rPr>
        <w:t>h</w:t>
      </w:r>
      <w:r w:rsidR="00785480">
        <w:rPr>
          <w:rFonts w:cstheme="minorHAnsi"/>
          <w:sz w:val="22"/>
          <w:szCs w:val="22"/>
        </w:rPr>
        <w:t xml:space="preserve">’ </w:t>
      </w:r>
      <w:r>
        <w:rPr>
          <w:rFonts w:cstheme="minorHAnsi"/>
          <w:sz w:val="22"/>
          <w:szCs w:val="22"/>
        </w:rPr>
        <w:t xml:space="preserve">of </w:t>
      </w:r>
      <w:r w:rsidR="00785480">
        <w:rPr>
          <w:rFonts w:cstheme="minorHAnsi"/>
          <w:sz w:val="22"/>
          <w:szCs w:val="22"/>
        </w:rPr>
        <w:t xml:space="preserve">the </w:t>
      </w:r>
      <w:r>
        <w:rPr>
          <w:rFonts w:cstheme="minorHAnsi"/>
          <w:sz w:val="22"/>
          <w:szCs w:val="22"/>
        </w:rPr>
        <w:t>c</w:t>
      </w:r>
      <w:r w:rsidR="00785480">
        <w:rPr>
          <w:rFonts w:cstheme="minorHAnsi"/>
          <w:sz w:val="22"/>
          <w:szCs w:val="22"/>
        </w:rPr>
        <w:t xml:space="preserve">ourt and </w:t>
      </w:r>
      <w:r>
        <w:rPr>
          <w:rFonts w:cstheme="minorHAnsi"/>
          <w:sz w:val="22"/>
          <w:szCs w:val="22"/>
        </w:rPr>
        <w:t xml:space="preserve">the </w:t>
      </w:r>
      <w:r w:rsidR="00785480">
        <w:rPr>
          <w:rFonts w:cstheme="minorHAnsi"/>
          <w:sz w:val="22"/>
          <w:szCs w:val="22"/>
        </w:rPr>
        <w:t xml:space="preserve">‘weight’ </w:t>
      </w:r>
      <w:r w:rsidR="005A1EA8">
        <w:rPr>
          <w:rFonts w:cstheme="minorHAnsi"/>
          <w:sz w:val="22"/>
          <w:szCs w:val="22"/>
        </w:rPr>
        <w:t>of</w:t>
      </w:r>
      <w:r w:rsidR="005A1EA8" w:rsidRPr="00785480">
        <w:rPr>
          <w:rFonts w:cstheme="minorHAnsi"/>
          <w:sz w:val="22"/>
          <w:szCs w:val="22"/>
        </w:rPr>
        <w:t xml:space="preserve"> </w:t>
      </w:r>
      <w:r w:rsidR="00785480">
        <w:rPr>
          <w:rFonts w:cstheme="minorHAnsi"/>
          <w:sz w:val="22"/>
          <w:szCs w:val="22"/>
        </w:rPr>
        <w:t>its decisions</w:t>
      </w:r>
      <w:r w:rsidR="00650E42">
        <w:rPr>
          <w:rFonts w:cstheme="minorHAnsi"/>
          <w:sz w:val="22"/>
          <w:szCs w:val="22"/>
        </w:rPr>
        <w:t>, particularly in the context of women’s wages</w:t>
      </w:r>
      <w:r w:rsidR="00785480">
        <w:rPr>
          <w:rFonts w:cstheme="minorHAnsi"/>
          <w:sz w:val="22"/>
          <w:szCs w:val="22"/>
        </w:rPr>
        <w:t>.</w:t>
      </w:r>
      <w:r>
        <w:rPr>
          <w:rStyle w:val="FootnoteReference"/>
          <w:rFonts w:cstheme="minorHAnsi"/>
          <w:sz w:val="22"/>
          <w:szCs w:val="22"/>
        </w:rPr>
        <w:footnoteReference w:id="70"/>
      </w:r>
      <w:r w:rsidR="00785480">
        <w:rPr>
          <w:rFonts w:cstheme="minorHAnsi"/>
          <w:sz w:val="22"/>
          <w:szCs w:val="22"/>
        </w:rPr>
        <w:t xml:space="preserve"> </w:t>
      </w:r>
      <w:r w:rsidR="00247D8E">
        <w:rPr>
          <w:rFonts w:cstheme="minorHAnsi"/>
          <w:sz w:val="22"/>
          <w:szCs w:val="22"/>
        </w:rPr>
        <w:t>In other words, if the court was to do its job we</w:t>
      </w:r>
      <w:r w:rsidR="00492A72">
        <w:rPr>
          <w:rFonts w:cstheme="minorHAnsi"/>
          <w:sz w:val="22"/>
          <w:szCs w:val="22"/>
        </w:rPr>
        <w:t>l</w:t>
      </w:r>
      <w:r w:rsidR="00247D8E">
        <w:rPr>
          <w:rFonts w:cstheme="minorHAnsi"/>
          <w:sz w:val="22"/>
          <w:szCs w:val="22"/>
        </w:rPr>
        <w:t>l</w:t>
      </w:r>
      <w:r w:rsidR="00492A72">
        <w:rPr>
          <w:rFonts w:cstheme="minorHAnsi"/>
          <w:sz w:val="22"/>
          <w:szCs w:val="22"/>
        </w:rPr>
        <w:t xml:space="preserve"> </w:t>
      </w:r>
      <w:r w:rsidR="00247D8E">
        <w:rPr>
          <w:rFonts w:cstheme="minorHAnsi"/>
          <w:sz w:val="22"/>
          <w:szCs w:val="22"/>
        </w:rPr>
        <w:t>– if it was to be the best it could possibly be – then women needed to be involved</w:t>
      </w:r>
      <w:r w:rsidR="000E557B">
        <w:rPr>
          <w:rFonts w:cstheme="minorHAnsi"/>
          <w:sz w:val="22"/>
          <w:szCs w:val="22"/>
        </w:rPr>
        <w:t xml:space="preserve"> in its decision-making</w:t>
      </w:r>
      <w:r w:rsidR="00247D8E">
        <w:rPr>
          <w:rFonts w:cstheme="minorHAnsi"/>
          <w:sz w:val="22"/>
          <w:szCs w:val="22"/>
        </w:rPr>
        <w:t xml:space="preserve">. </w:t>
      </w:r>
      <w:r w:rsidR="005C67AA">
        <w:rPr>
          <w:rFonts w:cstheme="minorHAnsi"/>
          <w:sz w:val="22"/>
          <w:szCs w:val="22"/>
        </w:rPr>
        <w:t xml:space="preserve">The quality of the </w:t>
      </w:r>
      <w:r w:rsidR="00BA09ED">
        <w:rPr>
          <w:rFonts w:cstheme="minorHAnsi"/>
          <w:sz w:val="22"/>
          <w:szCs w:val="22"/>
        </w:rPr>
        <w:t>c</w:t>
      </w:r>
      <w:r w:rsidR="005C67AA">
        <w:rPr>
          <w:rFonts w:cstheme="minorHAnsi"/>
          <w:sz w:val="22"/>
          <w:szCs w:val="22"/>
        </w:rPr>
        <w:t>ourt depended on women’s inclusion.</w:t>
      </w:r>
    </w:p>
    <w:p w14:paraId="712FCCBE" w14:textId="51CE9A65" w:rsidR="001A68CD" w:rsidRDefault="001A68CD" w:rsidP="00F770DA">
      <w:pPr>
        <w:spacing w:line="360" w:lineRule="auto"/>
        <w:rPr>
          <w:rFonts w:cstheme="minorHAnsi"/>
          <w:sz w:val="22"/>
          <w:szCs w:val="22"/>
        </w:rPr>
      </w:pPr>
    </w:p>
    <w:p w14:paraId="5D8B10A1" w14:textId="5AE941F5" w:rsidR="001A68CD" w:rsidRDefault="002729A1" w:rsidP="005C7AC3">
      <w:pPr>
        <w:spacing w:line="360" w:lineRule="auto"/>
        <w:rPr>
          <w:rFonts w:cstheme="minorHAnsi"/>
          <w:sz w:val="22"/>
          <w:szCs w:val="22"/>
        </w:rPr>
      </w:pPr>
      <w:r>
        <w:rPr>
          <w:rFonts w:cstheme="minorHAnsi"/>
          <w:sz w:val="22"/>
          <w:szCs w:val="22"/>
        </w:rPr>
        <w:t xml:space="preserve">Members from </w:t>
      </w:r>
      <w:r w:rsidR="005C67AA">
        <w:rPr>
          <w:rFonts w:cstheme="minorHAnsi"/>
          <w:sz w:val="22"/>
          <w:szCs w:val="22"/>
        </w:rPr>
        <w:t xml:space="preserve">both sides spoke in favour of the amendment. </w:t>
      </w:r>
      <w:r w:rsidR="001A68CD">
        <w:rPr>
          <w:rFonts w:cstheme="minorHAnsi"/>
          <w:sz w:val="22"/>
          <w:szCs w:val="22"/>
        </w:rPr>
        <w:t>M</w:t>
      </w:r>
      <w:r w:rsidR="001A68CD" w:rsidRPr="00132E6F">
        <w:rPr>
          <w:rFonts w:cstheme="minorHAnsi"/>
          <w:sz w:val="22"/>
          <w:szCs w:val="22"/>
        </w:rPr>
        <w:t>ajor John (Jack) Hills, Conservative MP for Durham City</w:t>
      </w:r>
      <w:r w:rsidR="001A68CD">
        <w:rPr>
          <w:rFonts w:cstheme="minorHAnsi"/>
          <w:sz w:val="22"/>
          <w:szCs w:val="22"/>
        </w:rPr>
        <w:t xml:space="preserve">, </w:t>
      </w:r>
      <w:r w:rsidR="000E557B">
        <w:rPr>
          <w:rFonts w:cstheme="minorHAnsi"/>
          <w:sz w:val="22"/>
          <w:szCs w:val="22"/>
        </w:rPr>
        <w:t>argued that</w:t>
      </w:r>
      <w:r w:rsidR="001A68CD" w:rsidRPr="004E53EE">
        <w:rPr>
          <w:rFonts w:cstheme="minorHAnsi"/>
          <w:sz w:val="22"/>
          <w:szCs w:val="22"/>
        </w:rPr>
        <w:t xml:space="preserve"> there was a ‘tremendous case’ for the inclusion of women in order to harness the expertise they had gained through their participation in the adjudication of industrial disputes both during and since the war.</w:t>
      </w:r>
      <w:r w:rsidR="00BA09ED">
        <w:rPr>
          <w:rStyle w:val="FootnoteReference"/>
          <w:rFonts w:cstheme="minorHAnsi"/>
          <w:sz w:val="22"/>
          <w:szCs w:val="22"/>
        </w:rPr>
        <w:footnoteReference w:id="71"/>
      </w:r>
      <w:r w:rsidR="001A68CD" w:rsidRPr="004E53EE">
        <w:rPr>
          <w:rFonts w:cstheme="minorHAnsi"/>
          <w:sz w:val="22"/>
          <w:szCs w:val="22"/>
        </w:rPr>
        <w:t xml:space="preserve"> Women’s representation on the Court, </w:t>
      </w:r>
      <w:r>
        <w:rPr>
          <w:rFonts w:cstheme="minorHAnsi"/>
          <w:sz w:val="22"/>
          <w:szCs w:val="22"/>
        </w:rPr>
        <w:t>Hills</w:t>
      </w:r>
      <w:r w:rsidR="001A68CD" w:rsidRPr="004E53EE">
        <w:rPr>
          <w:rFonts w:cstheme="minorHAnsi"/>
          <w:sz w:val="22"/>
          <w:szCs w:val="22"/>
        </w:rPr>
        <w:t xml:space="preserve"> </w:t>
      </w:r>
      <w:r w:rsidR="00BA09ED">
        <w:rPr>
          <w:rFonts w:cstheme="minorHAnsi"/>
          <w:sz w:val="22"/>
          <w:szCs w:val="22"/>
        </w:rPr>
        <w:t>suggested</w:t>
      </w:r>
      <w:r w:rsidR="001A68CD" w:rsidRPr="004E53EE">
        <w:rPr>
          <w:rFonts w:cstheme="minorHAnsi"/>
          <w:sz w:val="22"/>
          <w:szCs w:val="22"/>
        </w:rPr>
        <w:t>,</w:t>
      </w:r>
      <w:r>
        <w:rPr>
          <w:rFonts w:cstheme="minorHAnsi"/>
          <w:sz w:val="22"/>
          <w:szCs w:val="22"/>
        </w:rPr>
        <w:t xml:space="preserve"> was </w:t>
      </w:r>
      <w:r w:rsidR="001A68CD" w:rsidRPr="004E53EE">
        <w:rPr>
          <w:rFonts w:cstheme="minorHAnsi"/>
          <w:sz w:val="22"/>
          <w:szCs w:val="22"/>
        </w:rPr>
        <w:t>‘vital’ to women’s interests, their distinctive insights making them best placed to advise on ‘women’s cases’</w:t>
      </w:r>
      <w:r>
        <w:rPr>
          <w:rFonts w:cstheme="minorHAnsi"/>
          <w:sz w:val="22"/>
          <w:szCs w:val="22"/>
        </w:rPr>
        <w:t>,</w:t>
      </w:r>
      <w:r w:rsidR="001A68CD">
        <w:rPr>
          <w:rFonts w:cstheme="minorHAnsi"/>
          <w:sz w:val="22"/>
          <w:szCs w:val="22"/>
        </w:rPr>
        <w:t xml:space="preserve"> of which there were likely to be a considerable number.</w:t>
      </w:r>
      <w:r w:rsidR="00BA09ED">
        <w:rPr>
          <w:rStyle w:val="FootnoteReference"/>
          <w:rFonts w:cstheme="minorHAnsi"/>
          <w:sz w:val="22"/>
          <w:szCs w:val="22"/>
        </w:rPr>
        <w:footnoteReference w:id="72"/>
      </w:r>
      <w:r w:rsidR="001A68CD" w:rsidRPr="001A68CD">
        <w:rPr>
          <w:rFonts w:cstheme="minorHAnsi"/>
          <w:sz w:val="22"/>
          <w:szCs w:val="22"/>
        </w:rPr>
        <w:t xml:space="preserve"> </w:t>
      </w:r>
      <w:r w:rsidR="00B7309B">
        <w:rPr>
          <w:rFonts w:cstheme="minorHAnsi"/>
          <w:sz w:val="22"/>
          <w:szCs w:val="22"/>
        </w:rPr>
        <w:t>It would be ‘a great disaster’, he continued, if women were shut out from the body which controlled and regulated their wages.</w:t>
      </w:r>
      <w:r w:rsidR="00B7309B">
        <w:rPr>
          <w:rStyle w:val="FootnoteReference"/>
          <w:rFonts w:cstheme="minorHAnsi"/>
          <w:sz w:val="22"/>
          <w:szCs w:val="22"/>
        </w:rPr>
        <w:footnoteReference w:id="73"/>
      </w:r>
      <w:r w:rsidR="00B7309B">
        <w:rPr>
          <w:rFonts w:cstheme="minorHAnsi"/>
          <w:sz w:val="22"/>
          <w:szCs w:val="22"/>
        </w:rPr>
        <w:t xml:space="preserve"> </w:t>
      </w:r>
      <w:r w:rsidR="001A68CD" w:rsidRPr="004E53EE">
        <w:rPr>
          <w:rFonts w:cstheme="minorHAnsi"/>
          <w:sz w:val="22"/>
          <w:szCs w:val="22"/>
        </w:rPr>
        <w:t xml:space="preserve">William Graham MP, a member of the Labour Party, </w:t>
      </w:r>
      <w:r w:rsidR="001A68CD">
        <w:rPr>
          <w:rFonts w:cstheme="minorHAnsi"/>
          <w:sz w:val="22"/>
          <w:szCs w:val="22"/>
        </w:rPr>
        <w:t xml:space="preserve">went further, </w:t>
      </w:r>
      <w:r w:rsidR="001A68CD" w:rsidRPr="004E53EE">
        <w:rPr>
          <w:rFonts w:cstheme="minorHAnsi"/>
          <w:sz w:val="22"/>
          <w:szCs w:val="22"/>
        </w:rPr>
        <w:t>advocat</w:t>
      </w:r>
      <w:r w:rsidR="001A68CD">
        <w:rPr>
          <w:rFonts w:cstheme="minorHAnsi"/>
          <w:sz w:val="22"/>
          <w:szCs w:val="22"/>
        </w:rPr>
        <w:t>ing</w:t>
      </w:r>
      <w:r w:rsidR="001A68CD" w:rsidRPr="004E53EE">
        <w:rPr>
          <w:rFonts w:cstheme="minorHAnsi"/>
          <w:sz w:val="22"/>
          <w:szCs w:val="22"/>
        </w:rPr>
        <w:t xml:space="preserve"> for the inclusion of women on all cases</w:t>
      </w:r>
      <w:r w:rsidR="005C67AA">
        <w:rPr>
          <w:rFonts w:cstheme="minorHAnsi"/>
          <w:sz w:val="22"/>
          <w:szCs w:val="22"/>
        </w:rPr>
        <w:t>,</w:t>
      </w:r>
      <w:r w:rsidR="001A68CD" w:rsidRPr="004E53EE">
        <w:rPr>
          <w:rFonts w:cstheme="minorHAnsi"/>
          <w:sz w:val="22"/>
          <w:szCs w:val="22"/>
        </w:rPr>
        <w:t xml:space="preserve"> </w:t>
      </w:r>
      <w:r w:rsidR="000E557B">
        <w:rPr>
          <w:rFonts w:cstheme="minorHAnsi"/>
          <w:sz w:val="22"/>
          <w:szCs w:val="22"/>
        </w:rPr>
        <w:t>stating</w:t>
      </w:r>
      <w:r w:rsidR="005C67AA">
        <w:rPr>
          <w:rFonts w:cstheme="minorHAnsi"/>
          <w:sz w:val="22"/>
          <w:szCs w:val="22"/>
        </w:rPr>
        <w:t xml:space="preserve"> that</w:t>
      </w:r>
      <w:r w:rsidR="001A68CD" w:rsidRPr="004E53EE">
        <w:rPr>
          <w:rFonts w:cstheme="minorHAnsi"/>
          <w:sz w:val="22"/>
          <w:szCs w:val="22"/>
        </w:rPr>
        <w:t xml:space="preserve"> ‘there is no industrial dispute affecting men in which women are not directly or indirectly interested also’</w:t>
      </w:r>
      <w:r w:rsidR="005C7AC3">
        <w:rPr>
          <w:rFonts w:cstheme="minorHAnsi"/>
          <w:sz w:val="22"/>
          <w:szCs w:val="22"/>
        </w:rPr>
        <w:t>.</w:t>
      </w:r>
      <w:r w:rsidR="00BA09ED">
        <w:rPr>
          <w:rStyle w:val="FootnoteReference"/>
          <w:rFonts w:cstheme="minorHAnsi"/>
          <w:sz w:val="22"/>
          <w:szCs w:val="22"/>
        </w:rPr>
        <w:footnoteReference w:id="74"/>
      </w:r>
    </w:p>
    <w:p w14:paraId="7E05FAD1" w14:textId="7AEFBE31" w:rsidR="001A68CD" w:rsidRDefault="001A68CD" w:rsidP="00F770DA">
      <w:pPr>
        <w:spacing w:line="360" w:lineRule="auto"/>
        <w:rPr>
          <w:rFonts w:cstheme="minorHAnsi"/>
          <w:sz w:val="22"/>
          <w:szCs w:val="22"/>
        </w:rPr>
      </w:pPr>
    </w:p>
    <w:p w14:paraId="00FC4FFF" w14:textId="7C66E1DF" w:rsidR="005C7AC3" w:rsidRPr="002618B0" w:rsidRDefault="001A68CD" w:rsidP="00B203DA">
      <w:pPr>
        <w:spacing w:line="360" w:lineRule="auto"/>
        <w:rPr>
          <w:rFonts w:cstheme="minorHAnsi"/>
          <w:sz w:val="22"/>
          <w:szCs w:val="22"/>
        </w:rPr>
      </w:pPr>
      <w:r>
        <w:rPr>
          <w:rFonts w:cstheme="minorHAnsi"/>
          <w:sz w:val="22"/>
          <w:szCs w:val="22"/>
        </w:rPr>
        <w:t>Others deployed</w:t>
      </w:r>
      <w:r w:rsidR="005C67AA">
        <w:rPr>
          <w:rFonts w:cstheme="minorHAnsi"/>
          <w:sz w:val="22"/>
          <w:szCs w:val="22"/>
        </w:rPr>
        <w:t xml:space="preserve"> what we </w:t>
      </w:r>
      <w:r w:rsidR="008803BC">
        <w:rPr>
          <w:rFonts w:cstheme="minorHAnsi"/>
          <w:sz w:val="22"/>
          <w:szCs w:val="22"/>
        </w:rPr>
        <w:t>might</w:t>
      </w:r>
      <w:r w:rsidR="000E557B">
        <w:rPr>
          <w:rFonts w:cstheme="minorHAnsi"/>
          <w:sz w:val="22"/>
          <w:szCs w:val="22"/>
        </w:rPr>
        <w:t xml:space="preserve"> now</w:t>
      </w:r>
      <w:r w:rsidR="005C67AA">
        <w:rPr>
          <w:rFonts w:cstheme="minorHAnsi"/>
          <w:sz w:val="22"/>
          <w:szCs w:val="22"/>
        </w:rPr>
        <w:t xml:space="preserve"> call</w:t>
      </w:r>
      <w:r>
        <w:rPr>
          <w:rFonts w:cstheme="minorHAnsi"/>
          <w:sz w:val="22"/>
          <w:szCs w:val="22"/>
        </w:rPr>
        <w:t xml:space="preserve"> equity and legitimacy arguments</w:t>
      </w:r>
      <w:r w:rsidR="000E557B">
        <w:rPr>
          <w:rFonts w:cstheme="minorHAnsi"/>
          <w:sz w:val="22"/>
          <w:szCs w:val="22"/>
        </w:rPr>
        <w:t xml:space="preserve"> for women’s inclusion</w:t>
      </w:r>
      <w:r w:rsidR="005C7AC3">
        <w:rPr>
          <w:rFonts w:cstheme="minorHAnsi"/>
          <w:sz w:val="22"/>
          <w:szCs w:val="22"/>
        </w:rPr>
        <w:t xml:space="preserve">. </w:t>
      </w:r>
      <w:r w:rsidR="005C7AC3" w:rsidRPr="002618B0">
        <w:rPr>
          <w:rFonts w:cstheme="minorHAnsi"/>
          <w:sz w:val="22"/>
          <w:szCs w:val="22"/>
        </w:rPr>
        <w:t>Echoing contemporary claims made by the Women’s Freedom League</w:t>
      </w:r>
      <w:r w:rsidR="007E2149">
        <w:rPr>
          <w:rFonts w:cstheme="minorHAnsi"/>
          <w:sz w:val="22"/>
          <w:szCs w:val="22"/>
        </w:rPr>
        <w:t xml:space="preserve"> and others</w:t>
      </w:r>
      <w:r w:rsidR="005C7AC3" w:rsidRPr="002618B0">
        <w:rPr>
          <w:rFonts w:cstheme="minorHAnsi"/>
          <w:sz w:val="22"/>
          <w:szCs w:val="22"/>
        </w:rPr>
        <w:t xml:space="preserve"> in their arguments for women lawyers and </w:t>
      </w:r>
      <w:r w:rsidR="006C7098">
        <w:rPr>
          <w:rFonts w:cstheme="minorHAnsi"/>
          <w:sz w:val="22"/>
          <w:szCs w:val="22"/>
        </w:rPr>
        <w:t>magistrates</w:t>
      </w:r>
      <w:r w:rsidR="005C7AC3" w:rsidRPr="002618B0">
        <w:rPr>
          <w:rFonts w:cstheme="minorHAnsi"/>
          <w:sz w:val="22"/>
          <w:szCs w:val="22"/>
        </w:rPr>
        <w:t>,</w:t>
      </w:r>
      <w:r w:rsidR="007E2149">
        <w:rPr>
          <w:rStyle w:val="FootnoteReference"/>
          <w:rFonts w:cstheme="minorHAnsi"/>
          <w:sz w:val="22"/>
          <w:szCs w:val="22"/>
        </w:rPr>
        <w:footnoteReference w:id="75"/>
      </w:r>
      <w:r w:rsidR="005C7AC3" w:rsidRPr="002618B0">
        <w:rPr>
          <w:rFonts w:cstheme="minorHAnsi"/>
          <w:sz w:val="22"/>
          <w:szCs w:val="22"/>
        </w:rPr>
        <w:t xml:space="preserve"> </w:t>
      </w:r>
      <w:r w:rsidR="005C7AC3">
        <w:rPr>
          <w:rFonts w:cstheme="minorHAnsi"/>
          <w:sz w:val="22"/>
          <w:szCs w:val="22"/>
        </w:rPr>
        <w:t>Arthur</w:t>
      </w:r>
      <w:r w:rsidR="005C7AC3" w:rsidRPr="002618B0">
        <w:rPr>
          <w:rFonts w:cstheme="minorHAnsi"/>
          <w:sz w:val="22"/>
          <w:szCs w:val="22"/>
        </w:rPr>
        <w:t xml:space="preserve"> </w:t>
      </w:r>
      <w:r w:rsidR="005C7AC3">
        <w:rPr>
          <w:rFonts w:cstheme="minorHAnsi"/>
          <w:sz w:val="22"/>
          <w:szCs w:val="22"/>
        </w:rPr>
        <w:t>Henderson</w:t>
      </w:r>
      <w:r w:rsidR="000E557B">
        <w:rPr>
          <w:rFonts w:cstheme="minorHAnsi"/>
          <w:sz w:val="22"/>
          <w:szCs w:val="22"/>
        </w:rPr>
        <w:t xml:space="preserve"> MP</w:t>
      </w:r>
      <w:r w:rsidR="005C7AC3">
        <w:rPr>
          <w:rFonts w:cstheme="minorHAnsi"/>
          <w:sz w:val="22"/>
          <w:szCs w:val="22"/>
        </w:rPr>
        <w:t xml:space="preserve">, </w:t>
      </w:r>
      <w:r w:rsidR="000E557B">
        <w:rPr>
          <w:rFonts w:cstheme="minorHAnsi"/>
          <w:sz w:val="22"/>
          <w:szCs w:val="22"/>
        </w:rPr>
        <w:t>former</w:t>
      </w:r>
      <w:r w:rsidR="008A5A3D">
        <w:rPr>
          <w:rFonts w:cstheme="minorHAnsi"/>
          <w:sz w:val="22"/>
          <w:szCs w:val="22"/>
        </w:rPr>
        <w:t xml:space="preserve"> chairman of the Parliamentary</w:t>
      </w:r>
      <w:r w:rsidR="000E557B">
        <w:rPr>
          <w:rFonts w:cstheme="minorHAnsi"/>
          <w:sz w:val="22"/>
          <w:szCs w:val="22"/>
        </w:rPr>
        <w:t xml:space="preserve"> Labour </w:t>
      </w:r>
      <w:r w:rsidR="008A5A3D">
        <w:rPr>
          <w:rFonts w:cstheme="minorHAnsi"/>
          <w:sz w:val="22"/>
          <w:szCs w:val="22"/>
        </w:rPr>
        <w:t>party</w:t>
      </w:r>
      <w:r w:rsidR="005C7AC3">
        <w:rPr>
          <w:rFonts w:cstheme="minorHAnsi"/>
          <w:sz w:val="22"/>
          <w:szCs w:val="22"/>
        </w:rPr>
        <w:t>, p</w:t>
      </w:r>
      <w:r w:rsidR="005C7AC3" w:rsidRPr="002618B0">
        <w:rPr>
          <w:rFonts w:cstheme="minorHAnsi"/>
          <w:sz w:val="22"/>
          <w:szCs w:val="22"/>
        </w:rPr>
        <w:t xml:space="preserve">ointed to the necessity of including women members to ensure the legitimacy of, and confidence in, the Court itself. Women’s inclusion, </w:t>
      </w:r>
      <w:r w:rsidR="000E557B">
        <w:rPr>
          <w:rFonts w:cstheme="minorHAnsi"/>
          <w:sz w:val="22"/>
          <w:szCs w:val="22"/>
        </w:rPr>
        <w:t>Henderson</w:t>
      </w:r>
      <w:r w:rsidR="005C7AC3">
        <w:rPr>
          <w:rFonts w:cstheme="minorHAnsi"/>
          <w:sz w:val="22"/>
          <w:szCs w:val="22"/>
        </w:rPr>
        <w:t xml:space="preserve"> </w:t>
      </w:r>
      <w:r w:rsidR="005C7AC3" w:rsidRPr="002618B0">
        <w:rPr>
          <w:rFonts w:cstheme="minorHAnsi"/>
          <w:sz w:val="22"/>
          <w:szCs w:val="22"/>
        </w:rPr>
        <w:t xml:space="preserve">suggested, was a matter of ‘high principle and great practical </w:t>
      </w:r>
      <w:r w:rsidR="005C7AC3" w:rsidRPr="002618B0">
        <w:rPr>
          <w:rFonts w:cstheme="minorHAnsi"/>
          <w:sz w:val="22"/>
          <w:szCs w:val="22"/>
        </w:rPr>
        <w:lastRenderedPageBreak/>
        <w:t>importance’ and should be included ‘in the first Clause of the Bill’</w:t>
      </w:r>
      <w:r w:rsidR="00BA09ED">
        <w:rPr>
          <w:rFonts w:cstheme="minorHAnsi"/>
          <w:sz w:val="22"/>
          <w:szCs w:val="22"/>
        </w:rPr>
        <w:t>.</w:t>
      </w:r>
      <w:r w:rsidR="00BA09ED">
        <w:rPr>
          <w:rStyle w:val="FootnoteReference"/>
          <w:rFonts w:cstheme="minorHAnsi"/>
          <w:sz w:val="22"/>
          <w:szCs w:val="22"/>
        </w:rPr>
        <w:footnoteReference w:id="76"/>
      </w:r>
      <w:r w:rsidR="00BA09ED">
        <w:rPr>
          <w:rFonts w:cstheme="minorHAnsi"/>
          <w:sz w:val="22"/>
          <w:szCs w:val="22"/>
        </w:rPr>
        <w:t xml:space="preserve"> He repeated his point in a later debate, suggesting that</w:t>
      </w:r>
      <w:r w:rsidR="005C7AC3">
        <w:rPr>
          <w:rFonts w:cstheme="minorHAnsi"/>
          <w:sz w:val="22"/>
          <w:szCs w:val="22"/>
        </w:rPr>
        <w:t xml:space="preserve"> ‘</w:t>
      </w:r>
      <w:r w:rsidR="005C7AC3" w:rsidRPr="002618B0">
        <w:rPr>
          <w:rFonts w:cstheme="minorHAnsi"/>
          <w:sz w:val="22"/>
          <w:szCs w:val="22"/>
        </w:rPr>
        <w:t>it is not quite fair to leave all the cases affecting women to be arbitrated on by a Court upon which there is no woman representative</w:t>
      </w:r>
      <w:r w:rsidR="005C7AC3">
        <w:rPr>
          <w:rFonts w:cstheme="minorHAnsi"/>
          <w:sz w:val="22"/>
          <w:szCs w:val="22"/>
        </w:rPr>
        <w:t>’.</w:t>
      </w:r>
      <w:r w:rsidR="00BA09ED">
        <w:rPr>
          <w:rStyle w:val="FootnoteReference"/>
          <w:rFonts w:cstheme="minorHAnsi"/>
          <w:sz w:val="22"/>
          <w:szCs w:val="22"/>
        </w:rPr>
        <w:footnoteReference w:id="77"/>
      </w:r>
      <w:r w:rsidR="005C7AC3" w:rsidRPr="002618B0">
        <w:rPr>
          <w:rFonts w:cstheme="minorHAnsi"/>
          <w:sz w:val="22"/>
          <w:szCs w:val="22"/>
        </w:rPr>
        <w:t xml:space="preserve"> </w:t>
      </w:r>
      <w:r w:rsidR="005C7AC3">
        <w:rPr>
          <w:rFonts w:cstheme="minorHAnsi"/>
          <w:sz w:val="22"/>
          <w:szCs w:val="22"/>
        </w:rPr>
        <w:t xml:space="preserve">Shaw </w:t>
      </w:r>
      <w:r w:rsidR="00BA09ED">
        <w:rPr>
          <w:rFonts w:cstheme="minorHAnsi"/>
          <w:sz w:val="22"/>
          <w:szCs w:val="22"/>
        </w:rPr>
        <w:t xml:space="preserve">had </w:t>
      </w:r>
      <w:r w:rsidR="005C7AC3">
        <w:rPr>
          <w:rFonts w:cstheme="minorHAnsi"/>
          <w:sz w:val="22"/>
          <w:szCs w:val="22"/>
        </w:rPr>
        <w:t>made a similar point</w:t>
      </w:r>
      <w:r w:rsidR="00DA3F82">
        <w:rPr>
          <w:rFonts w:cstheme="minorHAnsi"/>
          <w:sz w:val="22"/>
          <w:szCs w:val="22"/>
        </w:rPr>
        <w:t>, a</w:t>
      </w:r>
      <w:r w:rsidR="008A5A3D">
        <w:rPr>
          <w:rFonts w:cstheme="minorHAnsi"/>
          <w:sz w:val="22"/>
          <w:szCs w:val="22"/>
        </w:rPr>
        <w:t>fter all th</w:t>
      </w:r>
      <w:r w:rsidR="005C67AA">
        <w:rPr>
          <w:rFonts w:cstheme="minorHAnsi"/>
          <w:sz w:val="22"/>
          <w:szCs w:val="22"/>
        </w:rPr>
        <w:t>is was the first election in which</w:t>
      </w:r>
      <w:r w:rsidR="008A5A3D">
        <w:rPr>
          <w:rFonts w:cstheme="minorHAnsi"/>
          <w:sz w:val="22"/>
          <w:szCs w:val="22"/>
        </w:rPr>
        <w:t xml:space="preserve"> </w:t>
      </w:r>
      <w:r w:rsidR="00C34623">
        <w:rPr>
          <w:rFonts w:cstheme="minorHAnsi"/>
          <w:sz w:val="22"/>
          <w:szCs w:val="22"/>
        </w:rPr>
        <w:t>a</w:t>
      </w:r>
      <w:r w:rsidR="006A11B6">
        <w:rPr>
          <w:rFonts w:cstheme="minorHAnsi"/>
          <w:sz w:val="22"/>
          <w:szCs w:val="22"/>
        </w:rPr>
        <w:t>n albeit</w:t>
      </w:r>
      <w:r w:rsidR="00C34623">
        <w:rPr>
          <w:rFonts w:cstheme="minorHAnsi"/>
          <w:sz w:val="22"/>
          <w:szCs w:val="22"/>
        </w:rPr>
        <w:t xml:space="preserve"> limited class of</w:t>
      </w:r>
      <w:r w:rsidR="005C67AA">
        <w:rPr>
          <w:rFonts w:cstheme="minorHAnsi"/>
          <w:sz w:val="22"/>
          <w:szCs w:val="22"/>
        </w:rPr>
        <w:t xml:space="preserve"> women had been able to vote following the</w:t>
      </w:r>
      <w:r w:rsidR="00C34623">
        <w:rPr>
          <w:rFonts w:cstheme="minorHAnsi"/>
          <w:sz w:val="22"/>
          <w:szCs w:val="22"/>
        </w:rPr>
        <w:t xml:space="preserve"> passing of the</w:t>
      </w:r>
      <w:r w:rsidR="005C67AA">
        <w:rPr>
          <w:rFonts w:cstheme="minorHAnsi"/>
          <w:sz w:val="22"/>
          <w:szCs w:val="22"/>
        </w:rPr>
        <w:t xml:space="preserve"> Representation of the People Act 1918</w:t>
      </w:r>
      <w:r w:rsidR="00DA3F82">
        <w:rPr>
          <w:rFonts w:cstheme="minorHAnsi"/>
          <w:sz w:val="22"/>
          <w:szCs w:val="22"/>
        </w:rPr>
        <w:t>. He</w:t>
      </w:r>
      <w:r w:rsidR="00650E42">
        <w:rPr>
          <w:rFonts w:cstheme="minorHAnsi"/>
          <w:sz w:val="22"/>
          <w:szCs w:val="22"/>
        </w:rPr>
        <w:t xml:space="preserve"> </w:t>
      </w:r>
      <w:r w:rsidR="00B203DA">
        <w:rPr>
          <w:rFonts w:cstheme="minorHAnsi"/>
          <w:sz w:val="22"/>
          <w:szCs w:val="22"/>
        </w:rPr>
        <w:t>‘seriously doubted’ whether ‘the</w:t>
      </w:r>
      <w:r w:rsidR="00650E42" w:rsidRPr="00650E42">
        <w:rPr>
          <w:rFonts w:cstheme="minorHAnsi"/>
          <w:sz w:val="22"/>
          <w:szCs w:val="22"/>
        </w:rPr>
        <w:t xml:space="preserve"> thousands of working women in the country</w:t>
      </w:r>
      <w:r w:rsidR="00B203DA">
        <w:rPr>
          <w:rFonts w:cstheme="minorHAnsi"/>
          <w:sz w:val="22"/>
          <w:szCs w:val="22"/>
        </w:rPr>
        <w:t xml:space="preserve">’ would feel ‘that </w:t>
      </w:r>
      <w:r w:rsidR="00650E42" w:rsidRPr="00650E42">
        <w:rPr>
          <w:rFonts w:cstheme="minorHAnsi"/>
          <w:sz w:val="22"/>
          <w:szCs w:val="22"/>
        </w:rPr>
        <w:t>they have been fairly treated by the Government for which they voted at the General Election</w:t>
      </w:r>
      <w:r w:rsidR="00B203DA">
        <w:rPr>
          <w:rFonts w:cstheme="minorHAnsi"/>
          <w:sz w:val="22"/>
          <w:szCs w:val="22"/>
        </w:rPr>
        <w:t>’ or ‘really trust the tribunal’ set up ‘</w:t>
      </w:r>
      <w:r w:rsidR="00650E42" w:rsidRPr="00650E42">
        <w:rPr>
          <w:rFonts w:cstheme="minorHAnsi"/>
          <w:sz w:val="22"/>
          <w:szCs w:val="22"/>
        </w:rPr>
        <w:t>without the element of experience which women can give</w:t>
      </w:r>
      <w:r w:rsidR="00B203DA">
        <w:rPr>
          <w:rFonts w:cstheme="minorHAnsi"/>
          <w:sz w:val="22"/>
          <w:szCs w:val="22"/>
        </w:rPr>
        <w:t>’</w:t>
      </w:r>
      <w:r w:rsidR="00E46498" w:rsidRPr="00E46498">
        <w:rPr>
          <w:rFonts w:cstheme="minorHAnsi"/>
          <w:sz w:val="22"/>
          <w:szCs w:val="22"/>
        </w:rPr>
        <w:t>.</w:t>
      </w:r>
      <w:r w:rsidR="007E2149">
        <w:rPr>
          <w:rStyle w:val="FootnoteReference"/>
          <w:rFonts w:cstheme="minorHAnsi"/>
          <w:sz w:val="22"/>
          <w:szCs w:val="22"/>
        </w:rPr>
        <w:footnoteReference w:id="78"/>
      </w:r>
    </w:p>
    <w:p w14:paraId="69CF625A" w14:textId="77777777" w:rsidR="006C7098" w:rsidRDefault="006C7098" w:rsidP="00F770DA">
      <w:pPr>
        <w:spacing w:line="360" w:lineRule="auto"/>
        <w:rPr>
          <w:rFonts w:cstheme="minorHAnsi"/>
          <w:sz w:val="22"/>
          <w:szCs w:val="22"/>
        </w:rPr>
      </w:pPr>
    </w:p>
    <w:p w14:paraId="24DDCACA" w14:textId="4320EBE4" w:rsidR="005C7AC3" w:rsidRDefault="005C67AA" w:rsidP="005C7AC3">
      <w:pPr>
        <w:spacing w:line="360" w:lineRule="auto"/>
        <w:rPr>
          <w:rFonts w:cstheme="minorHAnsi"/>
          <w:sz w:val="22"/>
          <w:szCs w:val="22"/>
        </w:rPr>
      </w:pPr>
      <w:r>
        <w:rPr>
          <w:rFonts w:cstheme="minorHAnsi"/>
          <w:sz w:val="22"/>
          <w:szCs w:val="22"/>
        </w:rPr>
        <w:t>However, d</w:t>
      </w:r>
      <w:r w:rsidR="0088780A">
        <w:rPr>
          <w:rFonts w:cstheme="minorHAnsi"/>
          <w:sz w:val="22"/>
          <w:szCs w:val="22"/>
        </w:rPr>
        <w:t xml:space="preserve">espite </w:t>
      </w:r>
      <w:r w:rsidR="00C34623">
        <w:rPr>
          <w:rFonts w:cstheme="minorHAnsi"/>
          <w:sz w:val="22"/>
          <w:szCs w:val="22"/>
        </w:rPr>
        <w:t>cross-party</w:t>
      </w:r>
      <w:r w:rsidR="0088780A">
        <w:rPr>
          <w:rFonts w:cstheme="minorHAnsi"/>
          <w:sz w:val="22"/>
          <w:szCs w:val="22"/>
        </w:rPr>
        <w:t xml:space="preserve"> agreement </w:t>
      </w:r>
      <w:r w:rsidR="0088780A" w:rsidRPr="0088780A">
        <w:rPr>
          <w:rFonts w:cstheme="minorHAnsi"/>
          <w:sz w:val="22"/>
          <w:szCs w:val="22"/>
        </w:rPr>
        <w:t>as to the value and necessity of women’s presence on the Court</w:t>
      </w:r>
      <w:r w:rsidR="00125682">
        <w:rPr>
          <w:rFonts w:cstheme="minorHAnsi"/>
          <w:sz w:val="22"/>
          <w:szCs w:val="22"/>
        </w:rPr>
        <w:t xml:space="preserve">, </w:t>
      </w:r>
      <w:r w:rsidR="005C7AC3" w:rsidRPr="0013549F">
        <w:rPr>
          <w:rFonts w:cstheme="minorHAnsi"/>
          <w:sz w:val="22"/>
          <w:szCs w:val="22"/>
        </w:rPr>
        <w:t>Shaw’s amendment was resisted by</w:t>
      </w:r>
      <w:r w:rsidR="00D97BD8" w:rsidRPr="00D97BD8">
        <w:rPr>
          <w:rFonts w:cstheme="minorHAnsi"/>
          <w:sz w:val="22"/>
          <w:szCs w:val="22"/>
        </w:rPr>
        <w:t xml:space="preserve"> </w:t>
      </w:r>
      <w:r>
        <w:rPr>
          <w:rFonts w:cstheme="minorHAnsi"/>
          <w:sz w:val="22"/>
          <w:szCs w:val="22"/>
        </w:rPr>
        <w:t>the Minister for Labour</w:t>
      </w:r>
      <w:r w:rsidR="005C7AC3" w:rsidRPr="0013549F">
        <w:rPr>
          <w:rFonts w:cstheme="minorHAnsi"/>
          <w:sz w:val="22"/>
          <w:szCs w:val="22"/>
        </w:rPr>
        <w:t xml:space="preserve">. </w:t>
      </w:r>
      <w:r w:rsidR="007E2149">
        <w:rPr>
          <w:rFonts w:cstheme="minorHAnsi"/>
          <w:sz w:val="22"/>
          <w:szCs w:val="22"/>
        </w:rPr>
        <w:t>T</w:t>
      </w:r>
      <w:r w:rsidR="005C7AC3" w:rsidRPr="0013549F">
        <w:rPr>
          <w:rFonts w:cstheme="minorHAnsi"/>
          <w:sz w:val="22"/>
          <w:szCs w:val="22"/>
        </w:rPr>
        <w:t>he membership of the Court was</w:t>
      </w:r>
      <w:r w:rsidR="007E2149">
        <w:rPr>
          <w:rFonts w:cstheme="minorHAnsi"/>
          <w:sz w:val="22"/>
          <w:szCs w:val="22"/>
        </w:rPr>
        <w:t xml:space="preserve">, </w:t>
      </w:r>
      <w:r w:rsidR="008803BC">
        <w:rPr>
          <w:rFonts w:cstheme="minorHAnsi"/>
          <w:sz w:val="22"/>
          <w:szCs w:val="22"/>
        </w:rPr>
        <w:t>Sir Robert</w:t>
      </w:r>
      <w:r w:rsidR="007E2149">
        <w:rPr>
          <w:rFonts w:cstheme="minorHAnsi"/>
          <w:sz w:val="22"/>
          <w:szCs w:val="22"/>
        </w:rPr>
        <w:t xml:space="preserve"> argued,</w:t>
      </w:r>
      <w:r w:rsidR="005C7AC3" w:rsidRPr="0013549F">
        <w:rPr>
          <w:rFonts w:cstheme="minorHAnsi"/>
          <w:sz w:val="22"/>
          <w:szCs w:val="22"/>
        </w:rPr>
        <w:t xml:space="preserve"> too small to guarantee a place for a woman member. Rather, </w:t>
      </w:r>
      <w:r w:rsidR="00BB7A3C">
        <w:rPr>
          <w:rFonts w:cstheme="minorHAnsi"/>
          <w:sz w:val="22"/>
          <w:szCs w:val="22"/>
        </w:rPr>
        <w:t>he</w:t>
      </w:r>
      <w:r w:rsidR="005C7AC3">
        <w:rPr>
          <w:rFonts w:cstheme="minorHAnsi"/>
          <w:sz w:val="22"/>
          <w:szCs w:val="22"/>
        </w:rPr>
        <w:t xml:space="preserve"> proposed</w:t>
      </w:r>
      <w:r w:rsidR="00BB7A3C">
        <w:rPr>
          <w:rFonts w:cstheme="minorHAnsi"/>
          <w:sz w:val="22"/>
          <w:szCs w:val="22"/>
        </w:rPr>
        <w:t xml:space="preserve"> that</w:t>
      </w:r>
      <w:r w:rsidR="000E557B">
        <w:rPr>
          <w:rFonts w:cstheme="minorHAnsi"/>
          <w:sz w:val="22"/>
          <w:szCs w:val="22"/>
        </w:rPr>
        <w:t xml:space="preserve"> </w:t>
      </w:r>
      <w:r w:rsidR="005C7AC3" w:rsidRPr="0013549F">
        <w:rPr>
          <w:rFonts w:cstheme="minorHAnsi"/>
          <w:sz w:val="22"/>
          <w:szCs w:val="22"/>
        </w:rPr>
        <w:t>women be ‘co-opted’ onto the Court as necessary as assessors on an ad-hoc basis</w:t>
      </w:r>
      <w:r w:rsidR="00785480">
        <w:rPr>
          <w:rFonts w:cstheme="minorHAnsi"/>
          <w:sz w:val="22"/>
          <w:szCs w:val="22"/>
        </w:rPr>
        <w:t xml:space="preserve"> – </w:t>
      </w:r>
      <w:r w:rsidR="00125682">
        <w:rPr>
          <w:rFonts w:cstheme="minorHAnsi"/>
          <w:sz w:val="22"/>
          <w:szCs w:val="22"/>
        </w:rPr>
        <w:t>after all</w:t>
      </w:r>
      <w:r w:rsidR="000E557B">
        <w:rPr>
          <w:rFonts w:cstheme="minorHAnsi"/>
          <w:sz w:val="22"/>
          <w:szCs w:val="22"/>
        </w:rPr>
        <w:t xml:space="preserve">, as he </w:t>
      </w:r>
      <w:r w:rsidR="00785480">
        <w:rPr>
          <w:rFonts w:cstheme="minorHAnsi"/>
          <w:sz w:val="22"/>
          <w:szCs w:val="22"/>
        </w:rPr>
        <w:t>point</w:t>
      </w:r>
      <w:r w:rsidR="000E557B">
        <w:rPr>
          <w:rFonts w:cstheme="minorHAnsi"/>
          <w:sz w:val="22"/>
          <w:szCs w:val="22"/>
        </w:rPr>
        <w:t>ed</w:t>
      </w:r>
      <w:r w:rsidR="00785480">
        <w:rPr>
          <w:rFonts w:cstheme="minorHAnsi"/>
          <w:sz w:val="22"/>
          <w:szCs w:val="22"/>
        </w:rPr>
        <w:t xml:space="preserve"> out</w:t>
      </w:r>
      <w:r w:rsidR="000E557B">
        <w:rPr>
          <w:rFonts w:cstheme="minorHAnsi"/>
          <w:sz w:val="22"/>
          <w:szCs w:val="22"/>
        </w:rPr>
        <w:t xml:space="preserve">, </w:t>
      </w:r>
      <w:r w:rsidR="00785480">
        <w:rPr>
          <w:rFonts w:cstheme="minorHAnsi"/>
          <w:sz w:val="22"/>
          <w:szCs w:val="22"/>
        </w:rPr>
        <w:t>‘</w:t>
      </w:r>
      <w:r w:rsidR="00785480" w:rsidRPr="00785480">
        <w:rPr>
          <w:rFonts w:cstheme="minorHAnsi"/>
          <w:sz w:val="22"/>
          <w:szCs w:val="22"/>
        </w:rPr>
        <w:t>there is nothing in the Bill at present which in any</w:t>
      </w:r>
      <w:r w:rsidR="00785480">
        <w:rPr>
          <w:rFonts w:cstheme="minorHAnsi"/>
          <w:sz w:val="22"/>
          <w:szCs w:val="22"/>
        </w:rPr>
        <w:t xml:space="preserve"> </w:t>
      </w:r>
      <w:r w:rsidR="00785480" w:rsidRPr="00785480">
        <w:rPr>
          <w:rFonts w:cstheme="minorHAnsi"/>
          <w:sz w:val="22"/>
          <w:szCs w:val="22"/>
        </w:rPr>
        <w:t>way excludes the appointment of women or makes it incompetent to appoint them</w:t>
      </w:r>
      <w:r w:rsidR="00785480">
        <w:rPr>
          <w:rFonts w:cstheme="minorHAnsi"/>
          <w:sz w:val="22"/>
          <w:szCs w:val="22"/>
        </w:rPr>
        <w:t>’</w:t>
      </w:r>
      <w:r w:rsidR="00785480" w:rsidRPr="00785480">
        <w:rPr>
          <w:rFonts w:cstheme="minorHAnsi"/>
          <w:sz w:val="22"/>
          <w:szCs w:val="22"/>
        </w:rPr>
        <w:t>.</w:t>
      </w:r>
      <w:r w:rsidR="007E2149">
        <w:rPr>
          <w:rStyle w:val="FootnoteReference"/>
          <w:rFonts w:cstheme="minorHAnsi"/>
          <w:sz w:val="22"/>
          <w:szCs w:val="22"/>
        </w:rPr>
        <w:footnoteReference w:id="79"/>
      </w:r>
      <w:r w:rsidR="007E2149">
        <w:rPr>
          <w:rFonts w:cstheme="minorHAnsi"/>
          <w:sz w:val="22"/>
          <w:szCs w:val="22"/>
        </w:rPr>
        <w:t xml:space="preserve"> </w:t>
      </w:r>
      <w:r w:rsidR="000A42BF">
        <w:rPr>
          <w:rFonts w:cstheme="minorHAnsi"/>
          <w:sz w:val="22"/>
          <w:szCs w:val="22"/>
        </w:rPr>
        <w:t>Nevertheless</w:t>
      </w:r>
      <w:r w:rsidR="00BD3A80">
        <w:rPr>
          <w:rFonts w:cstheme="minorHAnsi"/>
          <w:sz w:val="22"/>
          <w:szCs w:val="22"/>
        </w:rPr>
        <w:t>,</w:t>
      </w:r>
      <w:r w:rsidR="00BB7A3C">
        <w:rPr>
          <w:rFonts w:cstheme="minorHAnsi"/>
          <w:sz w:val="22"/>
          <w:szCs w:val="22"/>
        </w:rPr>
        <w:t xml:space="preserve"> perhaps even he realised</w:t>
      </w:r>
      <w:r w:rsidR="008A415E">
        <w:rPr>
          <w:rFonts w:cstheme="minorHAnsi"/>
          <w:sz w:val="22"/>
          <w:szCs w:val="22"/>
        </w:rPr>
        <w:t xml:space="preserve"> that</w:t>
      </w:r>
      <w:r w:rsidR="00BB7A3C">
        <w:rPr>
          <w:rFonts w:cstheme="minorHAnsi"/>
          <w:sz w:val="22"/>
          <w:szCs w:val="22"/>
        </w:rPr>
        <w:t xml:space="preserve"> thi</w:t>
      </w:r>
      <w:r w:rsidR="009D4322">
        <w:rPr>
          <w:rFonts w:cstheme="minorHAnsi"/>
          <w:sz w:val="22"/>
          <w:szCs w:val="22"/>
        </w:rPr>
        <w:t>s – to use</w:t>
      </w:r>
      <w:r w:rsidR="009D4322" w:rsidRPr="0013549F">
        <w:rPr>
          <w:rFonts w:cstheme="minorHAnsi"/>
          <w:sz w:val="22"/>
          <w:szCs w:val="22"/>
        </w:rPr>
        <w:t xml:space="preserve"> </w:t>
      </w:r>
      <w:r w:rsidR="009D4322">
        <w:rPr>
          <w:rFonts w:cstheme="minorHAnsi"/>
          <w:sz w:val="22"/>
          <w:szCs w:val="22"/>
        </w:rPr>
        <w:t xml:space="preserve">the words of a journalist from </w:t>
      </w:r>
      <w:r w:rsidR="009D4322" w:rsidRPr="005C7AC3">
        <w:rPr>
          <w:rFonts w:cstheme="minorHAnsi"/>
          <w:i/>
          <w:iCs/>
          <w:sz w:val="22"/>
          <w:szCs w:val="22"/>
        </w:rPr>
        <w:t>The Manchester Guardian</w:t>
      </w:r>
      <w:r w:rsidR="009D4322">
        <w:rPr>
          <w:rFonts w:cstheme="minorHAnsi"/>
          <w:sz w:val="22"/>
          <w:szCs w:val="22"/>
        </w:rPr>
        <w:t xml:space="preserve"> </w:t>
      </w:r>
      <w:r w:rsidR="009D4322" w:rsidRPr="0013549F">
        <w:rPr>
          <w:rFonts w:cstheme="minorHAnsi"/>
          <w:sz w:val="22"/>
          <w:szCs w:val="22"/>
        </w:rPr>
        <w:t>(which had been following</w:t>
      </w:r>
      <w:r w:rsidR="009D4322">
        <w:rPr>
          <w:rFonts w:cstheme="minorHAnsi"/>
          <w:sz w:val="22"/>
          <w:szCs w:val="22"/>
        </w:rPr>
        <w:t xml:space="preserve"> the progress of the</w:t>
      </w:r>
      <w:r w:rsidR="009D4322" w:rsidRPr="0013549F">
        <w:rPr>
          <w:rFonts w:cstheme="minorHAnsi"/>
          <w:sz w:val="22"/>
          <w:szCs w:val="22"/>
        </w:rPr>
        <w:t xml:space="preserve"> Bill closely)</w:t>
      </w:r>
      <w:r w:rsidR="009D4322">
        <w:rPr>
          <w:rFonts w:cstheme="minorHAnsi"/>
          <w:sz w:val="22"/>
          <w:szCs w:val="22"/>
        </w:rPr>
        <w:t xml:space="preserve"> –</w:t>
      </w:r>
      <w:r w:rsidR="00BB7A3C">
        <w:rPr>
          <w:rFonts w:cstheme="minorHAnsi"/>
          <w:sz w:val="22"/>
          <w:szCs w:val="22"/>
        </w:rPr>
        <w:t xml:space="preserve"> </w:t>
      </w:r>
      <w:r w:rsidR="00125682" w:rsidRPr="0013549F">
        <w:rPr>
          <w:rFonts w:cstheme="minorHAnsi"/>
          <w:sz w:val="22"/>
          <w:szCs w:val="22"/>
        </w:rPr>
        <w:t>‘concession to women’</w:t>
      </w:r>
      <w:r w:rsidR="007E2149">
        <w:rPr>
          <w:rStyle w:val="FootnoteReference"/>
          <w:rFonts w:cstheme="minorHAnsi"/>
          <w:sz w:val="22"/>
          <w:szCs w:val="22"/>
        </w:rPr>
        <w:footnoteReference w:id="80"/>
      </w:r>
      <w:r w:rsidR="00125682">
        <w:rPr>
          <w:rFonts w:cstheme="minorHAnsi"/>
          <w:sz w:val="22"/>
          <w:szCs w:val="22"/>
        </w:rPr>
        <w:t xml:space="preserve"> </w:t>
      </w:r>
      <w:r w:rsidR="00BB7A3C">
        <w:rPr>
          <w:rFonts w:cstheme="minorHAnsi"/>
          <w:sz w:val="22"/>
          <w:szCs w:val="22"/>
        </w:rPr>
        <w:t>was not enough</w:t>
      </w:r>
      <w:r w:rsidR="008803BC">
        <w:rPr>
          <w:rFonts w:cstheme="minorHAnsi"/>
          <w:sz w:val="22"/>
          <w:szCs w:val="22"/>
        </w:rPr>
        <w:t>,</w:t>
      </w:r>
      <w:r w:rsidR="00BB7A3C">
        <w:rPr>
          <w:rFonts w:cstheme="minorHAnsi"/>
          <w:sz w:val="22"/>
          <w:szCs w:val="22"/>
        </w:rPr>
        <w:t xml:space="preserve"> as</w:t>
      </w:r>
      <w:r w:rsidR="00BD3A80">
        <w:rPr>
          <w:rFonts w:cstheme="minorHAnsi"/>
          <w:sz w:val="22"/>
          <w:szCs w:val="22"/>
        </w:rPr>
        <w:t xml:space="preserve"> he</w:t>
      </w:r>
      <w:r w:rsidR="00BB7A3C">
        <w:rPr>
          <w:rFonts w:cstheme="minorHAnsi"/>
          <w:sz w:val="22"/>
          <w:szCs w:val="22"/>
        </w:rPr>
        <w:t xml:space="preserve"> also</w:t>
      </w:r>
      <w:r w:rsidR="00785480">
        <w:rPr>
          <w:rFonts w:cstheme="minorHAnsi"/>
          <w:sz w:val="22"/>
          <w:szCs w:val="22"/>
        </w:rPr>
        <w:t xml:space="preserve"> committed to giving the issue further consideration before the Report stage. </w:t>
      </w:r>
      <w:r w:rsidR="007E2149">
        <w:rPr>
          <w:rFonts w:cstheme="minorHAnsi"/>
          <w:sz w:val="22"/>
          <w:szCs w:val="22"/>
        </w:rPr>
        <w:t xml:space="preserve"> </w:t>
      </w:r>
      <w:r w:rsidR="00BB7A3C">
        <w:rPr>
          <w:rFonts w:cstheme="minorHAnsi"/>
          <w:sz w:val="22"/>
          <w:szCs w:val="22"/>
        </w:rPr>
        <w:t xml:space="preserve">Shaw was not convinced. </w:t>
      </w:r>
      <w:r w:rsidR="008803BC">
        <w:rPr>
          <w:rFonts w:cstheme="minorHAnsi"/>
          <w:sz w:val="22"/>
          <w:szCs w:val="22"/>
        </w:rPr>
        <w:t>W</w:t>
      </w:r>
      <w:r w:rsidR="005C7AC3" w:rsidRPr="0013549F">
        <w:rPr>
          <w:rFonts w:cstheme="minorHAnsi"/>
          <w:sz w:val="22"/>
          <w:szCs w:val="22"/>
        </w:rPr>
        <w:t xml:space="preserve">inning the argument for women’s </w:t>
      </w:r>
      <w:r w:rsidR="00D97BD8">
        <w:rPr>
          <w:rFonts w:cstheme="minorHAnsi"/>
          <w:sz w:val="22"/>
          <w:szCs w:val="22"/>
        </w:rPr>
        <w:t>ad hoc</w:t>
      </w:r>
      <w:r w:rsidR="005C7AC3" w:rsidRPr="0013549F">
        <w:rPr>
          <w:rFonts w:cstheme="minorHAnsi"/>
          <w:sz w:val="22"/>
          <w:szCs w:val="22"/>
        </w:rPr>
        <w:t xml:space="preserve"> representation was not enough. </w:t>
      </w:r>
      <w:r w:rsidR="00BB7A3C">
        <w:rPr>
          <w:rFonts w:cstheme="minorHAnsi"/>
          <w:sz w:val="22"/>
          <w:szCs w:val="22"/>
        </w:rPr>
        <w:t>P</w:t>
      </w:r>
      <w:r w:rsidR="005C7AC3" w:rsidRPr="0013549F">
        <w:rPr>
          <w:rFonts w:cstheme="minorHAnsi"/>
          <w:sz w:val="22"/>
          <w:szCs w:val="22"/>
        </w:rPr>
        <w:t>olitical sympathies, promises or compromises were all very well</w:t>
      </w:r>
      <w:r w:rsidR="00D97BD8">
        <w:rPr>
          <w:rFonts w:cstheme="minorHAnsi"/>
          <w:sz w:val="22"/>
          <w:szCs w:val="22"/>
        </w:rPr>
        <w:t>,</w:t>
      </w:r>
      <w:r w:rsidR="005C7AC3" w:rsidRPr="0013549F">
        <w:rPr>
          <w:rFonts w:cstheme="minorHAnsi"/>
          <w:sz w:val="22"/>
          <w:szCs w:val="22"/>
        </w:rPr>
        <w:t xml:space="preserve"> but without an explicit statutory provision ensuring </w:t>
      </w:r>
      <w:r>
        <w:rPr>
          <w:rFonts w:cstheme="minorHAnsi"/>
          <w:sz w:val="22"/>
          <w:szCs w:val="22"/>
        </w:rPr>
        <w:t>women’s</w:t>
      </w:r>
      <w:r w:rsidR="005C7AC3" w:rsidRPr="0013549F">
        <w:rPr>
          <w:rFonts w:cstheme="minorHAnsi"/>
          <w:sz w:val="22"/>
          <w:szCs w:val="22"/>
        </w:rPr>
        <w:t xml:space="preserve"> presence on the Court, there were no guarantees it would happen. He pushed for a vote</w:t>
      </w:r>
      <w:r w:rsidR="00BB7A3C">
        <w:rPr>
          <w:rFonts w:cstheme="minorHAnsi"/>
          <w:sz w:val="22"/>
          <w:szCs w:val="22"/>
        </w:rPr>
        <w:t>,</w:t>
      </w:r>
      <w:r w:rsidR="00785480">
        <w:rPr>
          <w:rFonts w:cstheme="minorHAnsi"/>
          <w:sz w:val="22"/>
          <w:szCs w:val="22"/>
        </w:rPr>
        <w:t xml:space="preserve"> where </w:t>
      </w:r>
      <w:r w:rsidR="00C34623">
        <w:rPr>
          <w:rFonts w:cstheme="minorHAnsi"/>
          <w:sz w:val="22"/>
          <w:szCs w:val="22"/>
        </w:rPr>
        <w:t>his</w:t>
      </w:r>
      <w:r w:rsidR="005C7AC3" w:rsidRPr="0013549F">
        <w:rPr>
          <w:rFonts w:cstheme="minorHAnsi"/>
          <w:sz w:val="22"/>
          <w:szCs w:val="22"/>
        </w:rPr>
        <w:t xml:space="preserve"> amendment failed</w:t>
      </w:r>
      <w:r w:rsidR="00D97BD8">
        <w:rPr>
          <w:rFonts w:cstheme="minorHAnsi"/>
          <w:sz w:val="22"/>
          <w:szCs w:val="22"/>
        </w:rPr>
        <w:t xml:space="preserve"> by 23 votes</w:t>
      </w:r>
      <w:r w:rsidR="005C7AC3" w:rsidRPr="0013549F">
        <w:rPr>
          <w:rFonts w:cstheme="minorHAnsi"/>
          <w:sz w:val="22"/>
          <w:szCs w:val="22"/>
        </w:rPr>
        <w:t xml:space="preserve"> (Ayes 75; Noes 119).  </w:t>
      </w:r>
    </w:p>
    <w:p w14:paraId="71F51991" w14:textId="62E2C2EA" w:rsidR="000E557B" w:rsidRDefault="000E557B" w:rsidP="005C7AC3">
      <w:pPr>
        <w:spacing w:line="360" w:lineRule="auto"/>
        <w:rPr>
          <w:rFonts w:cstheme="minorHAnsi"/>
          <w:sz w:val="22"/>
          <w:szCs w:val="22"/>
        </w:rPr>
      </w:pPr>
    </w:p>
    <w:p w14:paraId="48A4F465" w14:textId="344C5AA3" w:rsidR="004B4C3F" w:rsidRDefault="000E557B" w:rsidP="00AE3877">
      <w:pPr>
        <w:spacing w:line="360" w:lineRule="auto"/>
        <w:rPr>
          <w:rFonts w:cstheme="minorHAnsi"/>
          <w:sz w:val="22"/>
          <w:szCs w:val="22"/>
        </w:rPr>
      </w:pPr>
      <w:r>
        <w:rPr>
          <w:rFonts w:cstheme="minorHAnsi"/>
          <w:sz w:val="22"/>
          <w:szCs w:val="22"/>
        </w:rPr>
        <w:t>But</w:t>
      </w:r>
      <w:r w:rsidR="007E2149">
        <w:rPr>
          <w:rFonts w:cstheme="minorHAnsi"/>
          <w:sz w:val="22"/>
          <w:szCs w:val="22"/>
        </w:rPr>
        <w:t xml:space="preserve"> then,</w:t>
      </w:r>
      <w:r>
        <w:rPr>
          <w:rFonts w:cstheme="minorHAnsi"/>
          <w:sz w:val="22"/>
          <w:szCs w:val="22"/>
        </w:rPr>
        <w:t xml:space="preserve"> just </w:t>
      </w:r>
      <w:r w:rsidR="005C7AC3">
        <w:rPr>
          <w:rFonts w:cstheme="minorHAnsi"/>
          <w:sz w:val="22"/>
          <w:szCs w:val="22"/>
        </w:rPr>
        <w:t>eight</w:t>
      </w:r>
      <w:r w:rsidR="005C7AC3" w:rsidRPr="0013549F">
        <w:rPr>
          <w:rFonts w:cstheme="minorHAnsi"/>
          <w:sz w:val="22"/>
          <w:szCs w:val="22"/>
        </w:rPr>
        <w:t xml:space="preserve"> days later, </w:t>
      </w:r>
      <w:r w:rsidR="00785480">
        <w:rPr>
          <w:rFonts w:cstheme="minorHAnsi"/>
          <w:sz w:val="22"/>
          <w:szCs w:val="22"/>
        </w:rPr>
        <w:t>the Minister</w:t>
      </w:r>
      <w:r w:rsidR="00D97BD8">
        <w:rPr>
          <w:rFonts w:cstheme="minorHAnsi"/>
          <w:sz w:val="22"/>
          <w:szCs w:val="22"/>
        </w:rPr>
        <w:t xml:space="preserve"> </w:t>
      </w:r>
      <w:r w:rsidR="00C34623">
        <w:rPr>
          <w:rFonts w:cstheme="minorHAnsi"/>
          <w:sz w:val="22"/>
          <w:szCs w:val="22"/>
        </w:rPr>
        <w:t xml:space="preserve">for Labour </w:t>
      </w:r>
      <w:r w:rsidR="005C7AC3" w:rsidRPr="0013549F">
        <w:rPr>
          <w:rFonts w:cstheme="minorHAnsi"/>
          <w:sz w:val="22"/>
          <w:szCs w:val="22"/>
        </w:rPr>
        <w:t>changed his mind</w:t>
      </w:r>
      <w:r w:rsidR="00D97BD8">
        <w:rPr>
          <w:rFonts w:cstheme="minorHAnsi"/>
          <w:sz w:val="22"/>
          <w:szCs w:val="22"/>
        </w:rPr>
        <w:t xml:space="preserve">. </w:t>
      </w:r>
      <w:r w:rsidR="00785480">
        <w:rPr>
          <w:rFonts w:cstheme="minorHAnsi"/>
          <w:sz w:val="22"/>
          <w:szCs w:val="22"/>
        </w:rPr>
        <w:t>On</w:t>
      </w:r>
      <w:r w:rsidR="00D97BD8">
        <w:rPr>
          <w:rFonts w:cstheme="minorHAnsi"/>
          <w:sz w:val="22"/>
          <w:szCs w:val="22"/>
        </w:rPr>
        <w:t xml:space="preserve"> 18 Novembe</w:t>
      </w:r>
      <w:r w:rsidR="007E2149">
        <w:rPr>
          <w:rFonts w:cstheme="minorHAnsi"/>
          <w:sz w:val="22"/>
          <w:szCs w:val="22"/>
        </w:rPr>
        <w:t>r 1919</w:t>
      </w:r>
      <w:r w:rsidR="00D97BD8">
        <w:rPr>
          <w:rFonts w:cstheme="minorHAnsi"/>
          <w:sz w:val="22"/>
          <w:szCs w:val="22"/>
        </w:rPr>
        <w:t xml:space="preserve"> </w:t>
      </w:r>
      <w:r w:rsidR="008803BC">
        <w:rPr>
          <w:rFonts w:cstheme="minorHAnsi"/>
          <w:sz w:val="22"/>
          <w:szCs w:val="22"/>
        </w:rPr>
        <w:t>Sir Robert</w:t>
      </w:r>
      <w:r w:rsidR="00785480">
        <w:rPr>
          <w:rFonts w:cstheme="minorHAnsi"/>
          <w:sz w:val="22"/>
          <w:szCs w:val="22"/>
        </w:rPr>
        <w:t xml:space="preserve"> returned to the Chamber </w:t>
      </w:r>
      <w:r w:rsidR="00D97BD8">
        <w:rPr>
          <w:rFonts w:cstheme="minorHAnsi"/>
          <w:sz w:val="22"/>
          <w:szCs w:val="22"/>
        </w:rPr>
        <w:t xml:space="preserve">with an </w:t>
      </w:r>
      <w:r w:rsidR="005C7AC3" w:rsidRPr="0013549F">
        <w:rPr>
          <w:rFonts w:cstheme="minorHAnsi"/>
          <w:sz w:val="22"/>
          <w:szCs w:val="22"/>
        </w:rPr>
        <w:t xml:space="preserve">amendment </w:t>
      </w:r>
      <w:r w:rsidR="00785480">
        <w:rPr>
          <w:rFonts w:cstheme="minorHAnsi"/>
          <w:sz w:val="22"/>
          <w:szCs w:val="22"/>
        </w:rPr>
        <w:t>ensur</w:t>
      </w:r>
      <w:r>
        <w:rPr>
          <w:rFonts w:cstheme="minorHAnsi"/>
          <w:sz w:val="22"/>
          <w:szCs w:val="22"/>
        </w:rPr>
        <w:t>ing the presence of</w:t>
      </w:r>
      <w:r w:rsidR="005C7AC3" w:rsidRPr="0013549F">
        <w:rPr>
          <w:rFonts w:cstheme="minorHAnsi"/>
          <w:sz w:val="22"/>
          <w:szCs w:val="22"/>
        </w:rPr>
        <w:t xml:space="preserve"> one or more women on the Court ‘with the prestige of full membership’.</w:t>
      </w:r>
      <w:r w:rsidR="007E2149">
        <w:rPr>
          <w:rStyle w:val="FootnoteReference"/>
          <w:rFonts w:cstheme="minorHAnsi"/>
          <w:sz w:val="22"/>
          <w:szCs w:val="22"/>
        </w:rPr>
        <w:footnoteReference w:id="81"/>
      </w:r>
      <w:r w:rsidR="005C7AC3" w:rsidRPr="0013549F">
        <w:rPr>
          <w:rFonts w:cstheme="minorHAnsi"/>
          <w:sz w:val="22"/>
          <w:szCs w:val="22"/>
        </w:rPr>
        <w:t xml:space="preserve"> </w:t>
      </w:r>
      <w:r w:rsidR="005C7AC3">
        <w:rPr>
          <w:rFonts w:cstheme="minorHAnsi"/>
          <w:sz w:val="22"/>
          <w:szCs w:val="22"/>
        </w:rPr>
        <w:t>It</w:t>
      </w:r>
      <w:r w:rsidR="007E2149">
        <w:rPr>
          <w:rFonts w:cstheme="minorHAnsi"/>
          <w:sz w:val="22"/>
          <w:szCs w:val="22"/>
        </w:rPr>
        <w:t xml:space="preserve"> i</w:t>
      </w:r>
      <w:r w:rsidR="005C7AC3">
        <w:rPr>
          <w:rFonts w:cstheme="minorHAnsi"/>
          <w:sz w:val="22"/>
          <w:szCs w:val="22"/>
        </w:rPr>
        <w:t xml:space="preserve">s not clear </w:t>
      </w:r>
      <w:r w:rsidR="00785480">
        <w:rPr>
          <w:rFonts w:cstheme="minorHAnsi"/>
          <w:sz w:val="22"/>
          <w:szCs w:val="22"/>
        </w:rPr>
        <w:t>how this happened</w:t>
      </w:r>
      <w:r w:rsidR="00D97BD8">
        <w:rPr>
          <w:rFonts w:cstheme="minorHAnsi"/>
          <w:sz w:val="22"/>
          <w:szCs w:val="22"/>
        </w:rPr>
        <w:t xml:space="preserve"> – though</w:t>
      </w:r>
      <w:r w:rsidR="00BD3A80">
        <w:rPr>
          <w:rFonts w:cstheme="minorHAnsi"/>
          <w:sz w:val="22"/>
          <w:szCs w:val="22"/>
        </w:rPr>
        <w:t xml:space="preserve"> </w:t>
      </w:r>
      <w:r w:rsidR="007E2149">
        <w:rPr>
          <w:rFonts w:cstheme="minorHAnsi"/>
          <w:sz w:val="22"/>
          <w:szCs w:val="22"/>
        </w:rPr>
        <w:t xml:space="preserve">it may have been that </w:t>
      </w:r>
      <w:r w:rsidR="00BD3A80">
        <w:rPr>
          <w:rFonts w:cstheme="minorHAnsi"/>
          <w:sz w:val="22"/>
          <w:szCs w:val="22"/>
        </w:rPr>
        <w:t>he felt he had been out-manoeuvred</w:t>
      </w:r>
      <w:r w:rsidR="00BB7A3C">
        <w:rPr>
          <w:rFonts w:cstheme="minorHAnsi"/>
          <w:sz w:val="22"/>
          <w:szCs w:val="22"/>
        </w:rPr>
        <w:t xml:space="preserve"> by Shaw</w:t>
      </w:r>
      <w:r w:rsidR="00BD3A80">
        <w:rPr>
          <w:rFonts w:cstheme="minorHAnsi"/>
          <w:sz w:val="22"/>
          <w:szCs w:val="22"/>
        </w:rPr>
        <w:t xml:space="preserve">. </w:t>
      </w:r>
      <w:r w:rsidR="00BB7A3C">
        <w:rPr>
          <w:rFonts w:cstheme="minorHAnsi"/>
          <w:sz w:val="22"/>
          <w:szCs w:val="22"/>
        </w:rPr>
        <w:t xml:space="preserve">When </w:t>
      </w:r>
      <w:r w:rsidR="00D97BD8">
        <w:rPr>
          <w:rFonts w:cstheme="minorHAnsi"/>
          <w:sz w:val="22"/>
          <w:szCs w:val="22"/>
        </w:rPr>
        <w:t xml:space="preserve">introducing </w:t>
      </w:r>
      <w:r w:rsidR="00261370">
        <w:rPr>
          <w:rFonts w:cstheme="minorHAnsi"/>
          <w:sz w:val="22"/>
          <w:szCs w:val="22"/>
        </w:rPr>
        <w:t>his amendment</w:t>
      </w:r>
      <w:r w:rsidR="00BD3A80">
        <w:rPr>
          <w:rFonts w:cstheme="minorHAnsi"/>
          <w:sz w:val="22"/>
          <w:szCs w:val="22"/>
        </w:rPr>
        <w:t>,</w:t>
      </w:r>
      <w:r w:rsidR="00261370">
        <w:rPr>
          <w:rFonts w:cstheme="minorHAnsi"/>
          <w:sz w:val="22"/>
          <w:szCs w:val="22"/>
        </w:rPr>
        <w:t xml:space="preserve"> </w:t>
      </w:r>
      <w:r w:rsidR="00C34623">
        <w:rPr>
          <w:rFonts w:cstheme="minorHAnsi"/>
          <w:sz w:val="22"/>
          <w:szCs w:val="22"/>
        </w:rPr>
        <w:t>the Minister</w:t>
      </w:r>
      <w:r w:rsidR="00BB7A3C">
        <w:rPr>
          <w:rFonts w:cstheme="minorHAnsi"/>
          <w:sz w:val="22"/>
          <w:szCs w:val="22"/>
        </w:rPr>
        <w:t xml:space="preserve"> </w:t>
      </w:r>
      <w:r w:rsidR="00785480">
        <w:rPr>
          <w:rFonts w:cstheme="minorHAnsi"/>
          <w:sz w:val="22"/>
          <w:szCs w:val="22"/>
        </w:rPr>
        <w:t xml:space="preserve">remarked on his </w:t>
      </w:r>
      <w:r w:rsidR="00261370">
        <w:rPr>
          <w:rFonts w:cstheme="minorHAnsi"/>
          <w:sz w:val="22"/>
          <w:szCs w:val="22"/>
        </w:rPr>
        <w:t>disappointment with Shaw’s decision to push the matter to a vote</w:t>
      </w:r>
      <w:r w:rsidR="00BB7A3C">
        <w:rPr>
          <w:rFonts w:cstheme="minorHAnsi"/>
          <w:sz w:val="22"/>
          <w:szCs w:val="22"/>
        </w:rPr>
        <w:t xml:space="preserve"> the </w:t>
      </w:r>
      <w:r w:rsidR="00124C4F">
        <w:rPr>
          <w:rFonts w:cstheme="minorHAnsi"/>
          <w:sz w:val="22"/>
          <w:szCs w:val="22"/>
        </w:rPr>
        <w:t xml:space="preserve">previous </w:t>
      </w:r>
      <w:r w:rsidR="00BB7A3C">
        <w:rPr>
          <w:rFonts w:cstheme="minorHAnsi"/>
          <w:sz w:val="22"/>
          <w:szCs w:val="22"/>
        </w:rPr>
        <w:t>week</w:t>
      </w:r>
      <w:r w:rsidR="00261370">
        <w:rPr>
          <w:rFonts w:cstheme="minorHAnsi"/>
          <w:sz w:val="22"/>
          <w:szCs w:val="22"/>
        </w:rPr>
        <w:t xml:space="preserve">. </w:t>
      </w:r>
      <w:r w:rsidR="00BD3A80">
        <w:rPr>
          <w:rFonts w:cstheme="minorHAnsi"/>
          <w:sz w:val="22"/>
          <w:szCs w:val="22"/>
        </w:rPr>
        <w:t xml:space="preserve">Shaw’s response was </w:t>
      </w:r>
      <w:r w:rsidR="00BD3A80">
        <w:rPr>
          <w:rFonts w:cstheme="minorHAnsi"/>
          <w:sz w:val="22"/>
          <w:szCs w:val="22"/>
        </w:rPr>
        <w:lastRenderedPageBreak/>
        <w:t>conciliatory</w:t>
      </w:r>
      <w:r w:rsidR="00214507">
        <w:rPr>
          <w:rFonts w:cstheme="minorHAnsi"/>
          <w:sz w:val="22"/>
          <w:szCs w:val="22"/>
        </w:rPr>
        <w:t>.</w:t>
      </w:r>
      <w:r w:rsidR="00B203DA">
        <w:rPr>
          <w:rStyle w:val="FootnoteReference"/>
          <w:rFonts w:cstheme="minorHAnsi"/>
          <w:sz w:val="22"/>
          <w:szCs w:val="22"/>
        </w:rPr>
        <w:footnoteReference w:id="82"/>
      </w:r>
      <w:r w:rsidR="00B203DA">
        <w:rPr>
          <w:rFonts w:cstheme="minorHAnsi"/>
          <w:sz w:val="22"/>
          <w:szCs w:val="22"/>
        </w:rPr>
        <w:t xml:space="preserve"> </w:t>
      </w:r>
      <w:r w:rsidR="005C7AC3">
        <w:rPr>
          <w:rFonts w:cstheme="minorHAnsi"/>
          <w:sz w:val="22"/>
          <w:szCs w:val="22"/>
        </w:rPr>
        <w:t xml:space="preserve">The amendment was </w:t>
      </w:r>
      <w:r w:rsidR="005C7AC3" w:rsidRPr="0013549F">
        <w:rPr>
          <w:rFonts w:cstheme="minorHAnsi"/>
          <w:sz w:val="22"/>
          <w:szCs w:val="22"/>
        </w:rPr>
        <w:t xml:space="preserve">agreed to without debate. </w:t>
      </w:r>
      <w:r w:rsidR="00C34623" w:rsidRPr="0013549F">
        <w:rPr>
          <w:rFonts w:cstheme="minorHAnsi"/>
          <w:sz w:val="22"/>
          <w:szCs w:val="22"/>
        </w:rPr>
        <w:t>Women’s participation, on an equal footing (albeit not in</w:t>
      </w:r>
      <w:r w:rsidR="00C34623">
        <w:rPr>
          <w:rFonts w:cstheme="minorHAnsi"/>
          <w:sz w:val="22"/>
          <w:szCs w:val="22"/>
        </w:rPr>
        <w:t xml:space="preserve"> equal</w:t>
      </w:r>
      <w:r w:rsidR="00C34623" w:rsidRPr="0013549F">
        <w:rPr>
          <w:rFonts w:cstheme="minorHAnsi"/>
          <w:sz w:val="22"/>
          <w:szCs w:val="22"/>
        </w:rPr>
        <w:t xml:space="preserve"> numbers) with their male colleagues, was embedded in the constitution of the Court.</w:t>
      </w:r>
      <w:r w:rsidR="003D11F2">
        <w:rPr>
          <w:rStyle w:val="FootnoteReference"/>
          <w:rFonts w:cstheme="minorHAnsi"/>
          <w:sz w:val="22"/>
          <w:szCs w:val="22"/>
        </w:rPr>
        <w:footnoteReference w:id="83"/>
      </w:r>
      <w:r w:rsidR="004B4C3F">
        <w:rPr>
          <w:rFonts w:cstheme="minorHAnsi"/>
          <w:sz w:val="22"/>
          <w:szCs w:val="22"/>
        </w:rPr>
        <w:t xml:space="preserve"> </w:t>
      </w:r>
    </w:p>
    <w:p w14:paraId="7AE8013A" w14:textId="77777777" w:rsidR="004B4C3F" w:rsidRDefault="004B4C3F" w:rsidP="00AE3877">
      <w:pPr>
        <w:spacing w:line="360" w:lineRule="auto"/>
        <w:rPr>
          <w:rFonts w:cstheme="minorHAnsi"/>
          <w:sz w:val="22"/>
          <w:szCs w:val="22"/>
        </w:rPr>
      </w:pPr>
    </w:p>
    <w:p w14:paraId="455EFC5A" w14:textId="5AF56024" w:rsidR="005A0629" w:rsidRDefault="00BB7A3C" w:rsidP="00AE3877">
      <w:pPr>
        <w:spacing w:line="360" w:lineRule="auto"/>
        <w:rPr>
          <w:rFonts w:cstheme="minorHAnsi"/>
          <w:sz w:val="22"/>
          <w:szCs w:val="22"/>
        </w:rPr>
      </w:pPr>
      <w:r>
        <w:rPr>
          <w:rFonts w:cstheme="minorHAnsi"/>
          <w:sz w:val="22"/>
          <w:szCs w:val="22"/>
        </w:rPr>
        <w:t>T</w:t>
      </w:r>
      <w:r w:rsidR="00B52970">
        <w:rPr>
          <w:rFonts w:cstheme="minorHAnsi"/>
          <w:sz w:val="22"/>
          <w:szCs w:val="22"/>
        </w:rPr>
        <w:t>wo days later, on</w:t>
      </w:r>
      <w:r w:rsidR="005C7AC3" w:rsidRPr="0013549F">
        <w:rPr>
          <w:rFonts w:cstheme="minorHAnsi"/>
          <w:sz w:val="22"/>
          <w:szCs w:val="22"/>
        </w:rPr>
        <w:t xml:space="preserve"> 20 November 1919</w:t>
      </w:r>
      <w:r>
        <w:rPr>
          <w:rFonts w:cstheme="minorHAnsi"/>
          <w:sz w:val="22"/>
          <w:szCs w:val="22"/>
        </w:rPr>
        <w:t>, the</w:t>
      </w:r>
      <w:r w:rsidRPr="00B10373">
        <w:rPr>
          <w:rFonts w:cstheme="minorHAnsi"/>
          <w:sz w:val="22"/>
          <w:szCs w:val="22"/>
        </w:rPr>
        <w:t xml:space="preserve"> Industrial Courts Act 1919 </w:t>
      </w:r>
      <w:r>
        <w:rPr>
          <w:rFonts w:cstheme="minorHAnsi"/>
          <w:sz w:val="22"/>
          <w:szCs w:val="22"/>
        </w:rPr>
        <w:t xml:space="preserve">received its </w:t>
      </w:r>
      <w:r w:rsidRPr="0013549F">
        <w:rPr>
          <w:rFonts w:cstheme="minorHAnsi"/>
          <w:sz w:val="22"/>
          <w:szCs w:val="22"/>
        </w:rPr>
        <w:t>Royal Assent</w:t>
      </w:r>
      <w:r>
        <w:rPr>
          <w:rFonts w:cstheme="minorHAnsi"/>
          <w:sz w:val="22"/>
          <w:szCs w:val="22"/>
        </w:rPr>
        <w:t>.</w:t>
      </w:r>
      <w:r w:rsidR="00B203DA">
        <w:rPr>
          <w:rFonts w:cstheme="minorHAnsi"/>
          <w:sz w:val="22"/>
          <w:szCs w:val="22"/>
        </w:rPr>
        <w:t xml:space="preserve"> </w:t>
      </w:r>
      <w:r w:rsidR="001E19A6">
        <w:rPr>
          <w:rFonts w:cstheme="minorHAnsi"/>
          <w:sz w:val="22"/>
          <w:szCs w:val="22"/>
        </w:rPr>
        <w:t>L</w:t>
      </w:r>
      <w:r w:rsidR="00B203DA">
        <w:rPr>
          <w:rFonts w:cstheme="minorHAnsi"/>
          <w:sz w:val="22"/>
          <w:szCs w:val="22"/>
        </w:rPr>
        <w:t>ess than two weeks</w:t>
      </w:r>
      <w:r w:rsidR="008D1B87">
        <w:rPr>
          <w:rFonts w:cstheme="minorHAnsi"/>
          <w:sz w:val="22"/>
          <w:szCs w:val="22"/>
        </w:rPr>
        <w:t xml:space="preserve"> later</w:t>
      </w:r>
      <w:r w:rsidR="00174695">
        <w:rPr>
          <w:rFonts w:cstheme="minorHAnsi"/>
          <w:sz w:val="22"/>
          <w:szCs w:val="22"/>
        </w:rPr>
        <w:t>, on 6 December 1919,</w:t>
      </w:r>
      <w:r w:rsidR="00B203DA">
        <w:rPr>
          <w:rFonts w:cstheme="minorHAnsi"/>
          <w:sz w:val="22"/>
          <w:szCs w:val="22"/>
        </w:rPr>
        <w:t xml:space="preserve"> the first appointments</w:t>
      </w:r>
      <w:r w:rsidR="00F5577C">
        <w:rPr>
          <w:rFonts w:cstheme="minorHAnsi"/>
          <w:sz w:val="22"/>
          <w:szCs w:val="22"/>
        </w:rPr>
        <w:t>, including two women members</w:t>
      </w:r>
      <w:r w:rsidR="00C34623">
        <w:rPr>
          <w:rFonts w:cstheme="minorHAnsi"/>
          <w:sz w:val="22"/>
          <w:szCs w:val="22"/>
        </w:rPr>
        <w:t xml:space="preserve"> – </w:t>
      </w:r>
      <w:r w:rsidR="00C34623" w:rsidRPr="00231BFB">
        <w:rPr>
          <w:rFonts w:cstheme="minorHAnsi"/>
          <w:sz w:val="22"/>
          <w:szCs w:val="22"/>
        </w:rPr>
        <w:t>Cécile</w:t>
      </w:r>
      <w:r w:rsidR="00C34623">
        <w:rPr>
          <w:rFonts w:cstheme="minorHAnsi"/>
          <w:sz w:val="22"/>
          <w:szCs w:val="22"/>
        </w:rPr>
        <w:t xml:space="preserve"> </w:t>
      </w:r>
      <w:r w:rsidR="00C34623" w:rsidRPr="00231BFB">
        <w:rPr>
          <w:rFonts w:cstheme="minorHAnsi"/>
          <w:sz w:val="22"/>
          <w:szCs w:val="22"/>
        </w:rPr>
        <w:t xml:space="preserve">Matheson </w:t>
      </w:r>
      <w:r w:rsidR="00C34623">
        <w:rPr>
          <w:rFonts w:cstheme="minorHAnsi"/>
          <w:sz w:val="22"/>
          <w:szCs w:val="22"/>
        </w:rPr>
        <w:t xml:space="preserve">and Violet Markham – </w:t>
      </w:r>
      <w:r w:rsidR="00B203DA">
        <w:rPr>
          <w:rFonts w:cstheme="minorHAnsi"/>
          <w:sz w:val="22"/>
          <w:szCs w:val="22"/>
        </w:rPr>
        <w:t xml:space="preserve">were announced in </w:t>
      </w:r>
      <w:r w:rsidR="00B203DA">
        <w:rPr>
          <w:rFonts w:cstheme="minorHAnsi"/>
          <w:i/>
          <w:iCs/>
          <w:sz w:val="22"/>
          <w:szCs w:val="22"/>
        </w:rPr>
        <w:t>T</w:t>
      </w:r>
      <w:r w:rsidR="00B203DA" w:rsidRPr="00B203DA">
        <w:rPr>
          <w:rFonts w:cstheme="minorHAnsi"/>
          <w:i/>
          <w:iCs/>
          <w:sz w:val="22"/>
          <w:szCs w:val="22"/>
        </w:rPr>
        <w:t>he Times</w:t>
      </w:r>
      <w:r w:rsidR="00B203DA">
        <w:rPr>
          <w:rFonts w:cstheme="minorHAnsi"/>
          <w:sz w:val="22"/>
          <w:szCs w:val="22"/>
        </w:rPr>
        <w:t>.</w:t>
      </w:r>
      <w:r w:rsidR="00B203DA">
        <w:rPr>
          <w:rStyle w:val="FootnoteReference"/>
          <w:rFonts w:cstheme="minorHAnsi"/>
          <w:sz w:val="22"/>
          <w:szCs w:val="22"/>
        </w:rPr>
        <w:footnoteReference w:id="84"/>
      </w:r>
      <w:r w:rsidR="00B203DA">
        <w:rPr>
          <w:rFonts w:cstheme="minorHAnsi"/>
          <w:sz w:val="22"/>
          <w:szCs w:val="22"/>
        </w:rPr>
        <w:t xml:space="preserve"> </w:t>
      </w:r>
      <w:r w:rsidR="00AE3877">
        <w:rPr>
          <w:rFonts w:cstheme="minorHAnsi"/>
          <w:sz w:val="22"/>
          <w:szCs w:val="22"/>
        </w:rPr>
        <w:t xml:space="preserve">Both </w:t>
      </w:r>
      <w:r w:rsidR="00B47AF7">
        <w:rPr>
          <w:rFonts w:cstheme="minorHAnsi"/>
          <w:sz w:val="22"/>
          <w:szCs w:val="22"/>
        </w:rPr>
        <w:t xml:space="preserve">women </w:t>
      </w:r>
      <w:r w:rsidR="00AE3877">
        <w:rPr>
          <w:rFonts w:cstheme="minorHAnsi"/>
          <w:sz w:val="22"/>
          <w:szCs w:val="22"/>
        </w:rPr>
        <w:t>were well-known.</w:t>
      </w:r>
      <w:r w:rsidR="00214507" w:rsidRPr="00231BFB">
        <w:rPr>
          <w:rFonts w:cstheme="minorHAnsi"/>
          <w:sz w:val="22"/>
          <w:szCs w:val="22"/>
        </w:rPr>
        <w:t xml:space="preserve"> </w:t>
      </w:r>
      <w:r w:rsidR="00AE3877" w:rsidRPr="00231BFB">
        <w:rPr>
          <w:rFonts w:cstheme="minorHAnsi"/>
          <w:sz w:val="22"/>
          <w:szCs w:val="22"/>
        </w:rPr>
        <w:t>Cécile</w:t>
      </w:r>
      <w:r w:rsidR="00B52970">
        <w:rPr>
          <w:rFonts w:cstheme="minorHAnsi"/>
          <w:sz w:val="22"/>
          <w:szCs w:val="22"/>
        </w:rPr>
        <w:t xml:space="preserve"> </w:t>
      </w:r>
      <w:r w:rsidR="00AE3877" w:rsidRPr="00231BFB">
        <w:rPr>
          <w:rFonts w:cstheme="minorHAnsi"/>
          <w:sz w:val="22"/>
          <w:szCs w:val="22"/>
        </w:rPr>
        <w:t xml:space="preserve">Matheson </w:t>
      </w:r>
      <w:r w:rsidR="00AE3877">
        <w:rPr>
          <w:rFonts w:cstheme="minorHAnsi"/>
          <w:sz w:val="22"/>
          <w:szCs w:val="22"/>
        </w:rPr>
        <w:t>was an author and Warden of the Birmingham Women’s Settlement</w:t>
      </w:r>
      <w:r w:rsidR="00AE3877" w:rsidRPr="00231BFB">
        <w:rPr>
          <w:rFonts w:cstheme="minorHAnsi"/>
          <w:sz w:val="22"/>
          <w:szCs w:val="22"/>
        </w:rPr>
        <w:t xml:space="preserve"> </w:t>
      </w:r>
      <w:r w:rsidR="00AE3877">
        <w:rPr>
          <w:rFonts w:cstheme="minorHAnsi"/>
          <w:sz w:val="22"/>
          <w:szCs w:val="22"/>
        </w:rPr>
        <w:t>and</w:t>
      </w:r>
      <w:r w:rsidR="00AE3877" w:rsidRPr="00231BFB">
        <w:rPr>
          <w:rFonts w:cstheme="minorHAnsi"/>
          <w:sz w:val="22"/>
          <w:szCs w:val="22"/>
        </w:rPr>
        <w:t xml:space="preserve"> a prominent member of the National Union of Women Workers, the International Council of Women, and the National Union of Women’s Suffrage Societies.</w:t>
      </w:r>
      <w:r w:rsidR="00C42470">
        <w:rPr>
          <w:rStyle w:val="FootnoteReference"/>
          <w:rFonts w:cstheme="minorHAnsi"/>
          <w:sz w:val="22"/>
          <w:szCs w:val="22"/>
        </w:rPr>
        <w:footnoteReference w:id="85"/>
      </w:r>
      <w:r w:rsidR="00B52970">
        <w:rPr>
          <w:rFonts w:cstheme="minorHAnsi"/>
          <w:sz w:val="22"/>
          <w:szCs w:val="22"/>
        </w:rPr>
        <w:t xml:space="preserve"> She had worked with </w:t>
      </w:r>
      <w:r w:rsidR="00B52970" w:rsidRPr="00B52970">
        <w:rPr>
          <w:rFonts w:cstheme="minorHAnsi"/>
          <w:sz w:val="22"/>
          <w:szCs w:val="22"/>
        </w:rPr>
        <w:t>confectionery manufacturer</w:t>
      </w:r>
      <w:r w:rsidR="00011D88">
        <w:rPr>
          <w:rFonts w:cstheme="minorHAnsi"/>
          <w:sz w:val="22"/>
          <w:szCs w:val="22"/>
        </w:rPr>
        <w:t>,</w:t>
      </w:r>
      <w:r w:rsidR="00B52970" w:rsidRPr="00B52970">
        <w:rPr>
          <w:rFonts w:cstheme="minorHAnsi"/>
          <w:sz w:val="22"/>
          <w:szCs w:val="22"/>
        </w:rPr>
        <w:t xml:space="preserve"> Edward Cadbury</w:t>
      </w:r>
      <w:r w:rsidR="00011D88">
        <w:rPr>
          <w:rFonts w:cstheme="minorHAnsi"/>
          <w:sz w:val="22"/>
          <w:szCs w:val="22"/>
        </w:rPr>
        <w:t xml:space="preserve">, </w:t>
      </w:r>
      <w:r w:rsidR="00B52970" w:rsidRPr="00B52970">
        <w:rPr>
          <w:rFonts w:cstheme="minorHAnsi"/>
          <w:sz w:val="22"/>
          <w:szCs w:val="22"/>
        </w:rPr>
        <w:t xml:space="preserve">and </w:t>
      </w:r>
      <w:r w:rsidR="00D86401">
        <w:rPr>
          <w:rFonts w:cstheme="minorHAnsi"/>
          <w:sz w:val="22"/>
          <w:szCs w:val="22"/>
        </w:rPr>
        <w:t>Labour Party member</w:t>
      </w:r>
      <w:r w:rsidR="00011D88">
        <w:rPr>
          <w:rFonts w:cstheme="minorHAnsi"/>
          <w:sz w:val="22"/>
          <w:szCs w:val="22"/>
        </w:rPr>
        <w:t xml:space="preserve"> and academic,</w:t>
      </w:r>
      <w:r w:rsidR="00B52970" w:rsidRPr="00B52970">
        <w:rPr>
          <w:rFonts w:cstheme="minorHAnsi"/>
          <w:sz w:val="22"/>
          <w:szCs w:val="22"/>
        </w:rPr>
        <w:t xml:space="preserve"> George Shann</w:t>
      </w:r>
      <w:r w:rsidR="00011D88">
        <w:rPr>
          <w:rFonts w:cstheme="minorHAnsi"/>
          <w:sz w:val="22"/>
          <w:szCs w:val="22"/>
        </w:rPr>
        <w:t>,</w:t>
      </w:r>
      <w:r w:rsidR="00B52970" w:rsidRPr="00B52970">
        <w:rPr>
          <w:rFonts w:cstheme="minorHAnsi"/>
          <w:sz w:val="22"/>
          <w:szCs w:val="22"/>
        </w:rPr>
        <w:t xml:space="preserve"> o</w:t>
      </w:r>
      <w:r w:rsidR="00D86401">
        <w:rPr>
          <w:rFonts w:cstheme="minorHAnsi"/>
          <w:sz w:val="22"/>
          <w:szCs w:val="22"/>
        </w:rPr>
        <w:t>n a large-scale research project on women’s work and wages involving</w:t>
      </w:r>
      <w:r w:rsidR="00011D88">
        <w:rPr>
          <w:rFonts w:cstheme="minorHAnsi"/>
          <w:sz w:val="22"/>
          <w:szCs w:val="22"/>
        </w:rPr>
        <w:t xml:space="preserve"> almost 6500</w:t>
      </w:r>
      <w:r w:rsidR="00CF6FF6">
        <w:rPr>
          <w:rFonts w:cstheme="minorHAnsi"/>
          <w:sz w:val="22"/>
          <w:szCs w:val="22"/>
        </w:rPr>
        <w:t xml:space="preserve"> </w:t>
      </w:r>
      <w:r w:rsidR="00D86401">
        <w:rPr>
          <w:rFonts w:cstheme="minorHAnsi"/>
          <w:sz w:val="22"/>
          <w:szCs w:val="22"/>
        </w:rPr>
        <w:t>interviews</w:t>
      </w:r>
      <w:r w:rsidR="00966994">
        <w:rPr>
          <w:rFonts w:cstheme="minorHAnsi"/>
          <w:sz w:val="22"/>
          <w:szCs w:val="22"/>
        </w:rPr>
        <w:t>.</w:t>
      </w:r>
      <w:r w:rsidR="00C42470">
        <w:rPr>
          <w:rStyle w:val="FootnoteReference"/>
          <w:rFonts w:cstheme="minorHAnsi"/>
          <w:sz w:val="22"/>
          <w:szCs w:val="22"/>
        </w:rPr>
        <w:footnoteReference w:id="86"/>
      </w:r>
      <w:r w:rsidR="00966994">
        <w:rPr>
          <w:rFonts w:cstheme="minorHAnsi"/>
          <w:sz w:val="22"/>
          <w:szCs w:val="22"/>
        </w:rPr>
        <w:t xml:space="preserve"> She would later take up extra-mural posts at Cambridge and Oxford Universities, and </w:t>
      </w:r>
      <w:r w:rsidR="00275F05">
        <w:rPr>
          <w:rFonts w:cstheme="minorHAnsi"/>
          <w:sz w:val="22"/>
          <w:szCs w:val="22"/>
        </w:rPr>
        <w:t xml:space="preserve">at </w:t>
      </w:r>
      <w:r w:rsidR="00966994">
        <w:rPr>
          <w:rFonts w:cstheme="minorHAnsi"/>
          <w:sz w:val="22"/>
          <w:szCs w:val="22"/>
        </w:rPr>
        <w:t xml:space="preserve">the London School of Economics and </w:t>
      </w:r>
      <w:r w:rsidR="00275F05">
        <w:rPr>
          <w:rFonts w:cstheme="minorHAnsi"/>
          <w:sz w:val="22"/>
          <w:szCs w:val="22"/>
        </w:rPr>
        <w:t xml:space="preserve">would </w:t>
      </w:r>
      <w:r w:rsidR="008D1B87">
        <w:rPr>
          <w:rFonts w:cstheme="minorHAnsi"/>
          <w:sz w:val="22"/>
          <w:szCs w:val="22"/>
        </w:rPr>
        <w:t>be</w:t>
      </w:r>
      <w:r w:rsidR="00966994">
        <w:rPr>
          <w:rFonts w:cstheme="minorHAnsi"/>
          <w:sz w:val="22"/>
          <w:szCs w:val="22"/>
        </w:rPr>
        <w:t xml:space="preserve"> part of the Great British delegation to the </w:t>
      </w:r>
      <w:r w:rsidR="008D1B87">
        <w:rPr>
          <w:rFonts w:cstheme="minorHAnsi"/>
          <w:sz w:val="22"/>
          <w:szCs w:val="22"/>
        </w:rPr>
        <w:t xml:space="preserve">1925 </w:t>
      </w:r>
      <w:r w:rsidR="00966994">
        <w:rPr>
          <w:rFonts w:cstheme="minorHAnsi"/>
          <w:sz w:val="22"/>
          <w:szCs w:val="22"/>
        </w:rPr>
        <w:t>International Council of Women in Washington DC.</w:t>
      </w:r>
      <w:r w:rsidR="00C34623">
        <w:rPr>
          <w:rFonts w:cstheme="minorHAnsi"/>
          <w:sz w:val="22"/>
          <w:szCs w:val="22"/>
        </w:rPr>
        <w:t xml:space="preserve"> </w:t>
      </w:r>
      <w:r w:rsidR="00AE3877">
        <w:rPr>
          <w:rFonts w:cstheme="minorHAnsi"/>
          <w:sz w:val="22"/>
          <w:szCs w:val="22"/>
        </w:rPr>
        <w:t xml:space="preserve">Violet </w:t>
      </w:r>
      <w:r w:rsidR="00AE3877" w:rsidRPr="00231BFB">
        <w:rPr>
          <w:rFonts w:cstheme="minorHAnsi"/>
          <w:sz w:val="22"/>
          <w:szCs w:val="22"/>
        </w:rPr>
        <w:t>Markham</w:t>
      </w:r>
      <w:r w:rsidR="004B4C3F">
        <w:rPr>
          <w:rFonts w:cstheme="minorHAnsi"/>
          <w:sz w:val="22"/>
          <w:szCs w:val="22"/>
        </w:rPr>
        <w:t>,</w:t>
      </w:r>
      <w:r w:rsidR="007441C7">
        <w:rPr>
          <w:rFonts w:cstheme="minorHAnsi"/>
          <w:sz w:val="22"/>
          <w:szCs w:val="22"/>
        </w:rPr>
        <w:t xml:space="preserve"> described in her obituary as ‘one of the most interesting, and indeed remarkable, women in public life of her generation’,</w:t>
      </w:r>
      <w:r w:rsidR="007441C7">
        <w:rPr>
          <w:rStyle w:val="FootnoteReference"/>
          <w:rFonts w:cstheme="minorHAnsi"/>
          <w:sz w:val="22"/>
          <w:szCs w:val="22"/>
        </w:rPr>
        <w:footnoteReference w:id="87"/>
      </w:r>
      <w:r w:rsidR="00C34623">
        <w:rPr>
          <w:rFonts w:cstheme="minorHAnsi"/>
          <w:sz w:val="22"/>
          <w:szCs w:val="22"/>
        </w:rPr>
        <w:t xml:space="preserve"> was</w:t>
      </w:r>
      <w:r w:rsidR="00966994">
        <w:rPr>
          <w:rFonts w:cstheme="minorHAnsi"/>
          <w:sz w:val="22"/>
          <w:szCs w:val="22"/>
        </w:rPr>
        <w:t xml:space="preserve"> well</w:t>
      </w:r>
      <w:r w:rsidR="00F5577C">
        <w:rPr>
          <w:rFonts w:cstheme="minorHAnsi"/>
          <w:sz w:val="22"/>
          <w:szCs w:val="22"/>
        </w:rPr>
        <w:t xml:space="preserve"> known for her work as a leader of the anti-suffrage campaign</w:t>
      </w:r>
      <w:r w:rsidR="00DA3F82">
        <w:rPr>
          <w:rFonts w:cstheme="minorHAnsi"/>
          <w:sz w:val="22"/>
          <w:szCs w:val="22"/>
        </w:rPr>
        <w:t>.</w:t>
      </w:r>
      <w:r w:rsidR="00F5577C">
        <w:rPr>
          <w:rStyle w:val="FootnoteReference"/>
          <w:rFonts w:cstheme="minorHAnsi"/>
          <w:sz w:val="22"/>
          <w:szCs w:val="22"/>
        </w:rPr>
        <w:footnoteReference w:id="88"/>
      </w:r>
      <w:r w:rsidR="00DA3F82">
        <w:rPr>
          <w:rFonts w:cstheme="minorHAnsi"/>
          <w:sz w:val="22"/>
          <w:szCs w:val="22"/>
        </w:rPr>
        <w:t xml:space="preserve"> </w:t>
      </w:r>
      <w:r w:rsidR="00966994">
        <w:rPr>
          <w:rFonts w:cstheme="minorHAnsi"/>
          <w:sz w:val="22"/>
          <w:szCs w:val="22"/>
        </w:rPr>
        <w:t>S</w:t>
      </w:r>
      <w:r w:rsidR="00C34623">
        <w:rPr>
          <w:rFonts w:cstheme="minorHAnsi"/>
          <w:sz w:val="22"/>
          <w:szCs w:val="22"/>
        </w:rPr>
        <w:t xml:space="preserve">he </w:t>
      </w:r>
      <w:r w:rsidR="00D86401">
        <w:rPr>
          <w:rFonts w:cstheme="minorHAnsi"/>
          <w:sz w:val="22"/>
          <w:szCs w:val="22"/>
        </w:rPr>
        <w:t xml:space="preserve">had </w:t>
      </w:r>
      <w:r w:rsidR="00C34623">
        <w:rPr>
          <w:rFonts w:cstheme="minorHAnsi"/>
          <w:sz w:val="22"/>
          <w:szCs w:val="22"/>
        </w:rPr>
        <w:t xml:space="preserve">also </w:t>
      </w:r>
      <w:r w:rsidR="00D86401">
        <w:rPr>
          <w:rFonts w:cstheme="minorHAnsi"/>
          <w:sz w:val="22"/>
          <w:szCs w:val="22"/>
        </w:rPr>
        <w:t xml:space="preserve">worked alongside </w:t>
      </w:r>
      <w:r w:rsidR="00D86401" w:rsidRPr="00D86401">
        <w:rPr>
          <w:rFonts w:cstheme="minorHAnsi"/>
          <w:sz w:val="22"/>
          <w:szCs w:val="22"/>
        </w:rPr>
        <w:t xml:space="preserve">Lucy Deane </w:t>
      </w:r>
      <w:proofErr w:type="spellStart"/>
      <w:r w:rsidR="00D86401" w:rsidRPr="00D86401">
        <w:rPr>
          <w:rFonts w:cstheme="minorHAnsi"/>
          <w:sz w:val="22"/>
          <w:szCs w:val="22"/>
        </w:rPr>
        <w:t>Streatfe</w:t>
      </w:r>
      <w:r w:rsidR="00275F05">
        <w:rPr>
          <w:rFonts w:cstheme="minorHAnsi"/>
          <w:sz w:val="22"/>
          <w:szCs w:val="22"/>
        </w:rPr>
        <w:t>i</w:t>
      </w:r>
      <w:r w:rsidR="00D86401" w:rsidRPr="00D86401">
        <w:rPr>
          <w:rFonts w:cstheme="minorHAnsi"/>
          <w:sz w:val="22"/>
          <w:szCs w:val="22"/>
        </w:rPr>
        <w:t>ld</w:t>
      </w:r>
      <w:proofErr w:type="spellEnd"/>
      <w:r w:rsidR="00966994">
        <w:rPr>
          <w:rFonts w:cstheme="minorHAnsi"/>
          <w:sz w:val="22"/>
          <w:szCs w:val="22"/>
        </w:rPr>
        <w:t xml:space="preserve">, </w:t>
      </w:r>
      <w:r w:rsidR="00966994" w:rsidRPr="00966994">
        <w:rPr>
          <w:rFonts w:cstheme="minorHAnsi"/>
          <w:sz w:val="22"/>
          <w:szCs w:val="22"/>
        </w:rPr>
        <w:t>Gertrude Tuckwell,</w:t>
      </w:r>
      <w:r w:rsidR="00631F39">
        <w:rPr>
          <w:rStyle w:val="FootnoteReference"/>
          <w:rFonts w:cstheme="minorHAnsi"/>
          <w:sz w:val="22"/>
          <w:szCs w:val="22"/>
        </w:rPr>
        <w:footnoteReference w:id="89"/>
      </w:r>
      <w:r w:rsidR="00966994" w:rsidRPr="00966994">
        <w:rPr>
          <w:rFonts w:cstheme="minorHAnsi"/>
          <w:sz w:val="22"/>
          <w:szCs w:val="22"/>
        </w:rPr>
        <w:t xml:space="preserve"> and Mary MacArthur</w:t>
      </w:r>
      <w:r w:rsidR="00631F39">
        <w:rPr>
          <w:rStyle w:val="FootnoteReference"/>
          <w:rFonts w:cstheme="minorHAnsi"/>
          <w:sz w:val="22"/>
          <w:szCs w:val="22"/>
        </w:rPr>
        <w:footnoteReference w:id="90"/>
      </w:r>
      <w:r w:rsidR="00D86401">
        <w:rPr>
          <w:rFonts w:cstheme="minorHAnsi"/>
          <w:sz w:val="22"/>
          <w:szCs w:val="22"/>
        </w:rPr>
        <w:t xml:space="preserve"> and others </w:t>
      </w:r>
      <w:r w:rsidR="00011D88">
        <w:rPr>
          <w:rFonts w:cstheme="minorHAnsi"/>
          <w:sz w:val="22"/>
          <w:szCs w:val="22"/>
        </w:rPr>
        <w:t xml:space="preserve">on campaigns to </w:t>
      </w:r>
      <w:r w:rsidR="00D86401">
        <w:rPr>
          <w:rFonts w:cstheme="minorHAnsi"/>
          <w:sz w:val="22"/>
          <w:szCs w:val="22"/>
        </w:rPr>
        <w:t>improve the</w:t>
      </w:r>
      <w:r w:rsidR="00CF6FF6">
        <w:rPr>
          <w:rFonts w:cstheme="minorHAnsi"/>
          <w:sz w:val="22"/>
          <w:szCs w:val="22"/>
        </w:rPr>
        <w:t xml:space="preserve"> working</w:t>
      </w:r>
      <w:r w:rsidR="00D86401">
        <w:rPr>
          <w:rFonts w:cstheme="minorHAnsi"/>
          <w:sz w:val="22"/>
          <w:szCs w:val="22"/>
        </w:rPr>
        <w:t xml:space="preserve"> conditions of </w:t>
      </w:r>
      <w:r w:rsidR="00CF6FF6">
        <w:rPr>
          <w:rFonts w:cstheme="minorHAnsi"/>
          <w:sz w:val="22"/>
          <w:szCs w:val="22"/>
        </w:rPr>
        <w:t>the so-called</w:t>
      </w:r>
      <w:r w:rsidR="00D86401">
        <w:rPr>
          <w:rFonts w:cstheme="minorHAnsi"/>
          <w:sz w:val="22"/>
          <w:szCs w:val="22"/>
        </w:rPr>
        <w:t xml:space="preserve"> </w:t>
      </w:r>
      <w:r w:rsidR="00CF6FF6">
        <w:rPr>
          <w:rFonts w:cstheme="minorHAnsi"/>
          <w:sz w:val="22"/>
          <w:szCs w:val="22"/>
        </w:rPr>
        <w:t>‘sweated trades’</w:t>
      </w:r>
      <w:r w:rsidR="00C34623">
        <w:rPr>
          <w:rFonts w:cstheme="minorHAnsi"/>
          <w:sz w:val="22"/>
          <w:szCs w:val="22"/>
        </w:rPr>
        <w:t xml:space="preserve"> and </w:t>
      </w:r>
      <w:r w:rsidR="00A8331C">
        <w:rPr>
          <w:rFonts w:cstheme="minorHAnsi"/>
          <w:sz w:val="22"/>
          <w:szCs w:val="22"/>
        </w:rPr>
        <w:t>act</w:t>
      </w:r>
      <w:r w:rsidR="00D86401">
        <w:rPr>
          <w:rFonts w:cstheme="minorHAnsi"/>
          <w:sz w:val="22"/>
          <w:szCs w:val="22"/>
        </w:rPr>
        <w:t>ed</w:t>
      </w:r>
      <w:r w:rsidR="00A8331C">
        <w:rPr>
          <w:rFonts w:cstheme="minorHAnsi"/>
          <w:sz w:val="22"/>
          <w:szCs w:val="22"/>
        </w:rPr>
        <w:t xml:space="preserve"> as </w:t>
      </w:r>
      <w:r w:rsidR="00D86401">
        <w:rPr>
          <w:rFonts w:cstheme="minorHAnsi"/>
          <w:sz w:val="22"/>
          <w:szCs w:val="22"/>
        </w:rPr>
        <w:t>D</w:t>
      </w:r>
      <w:r w:rsidR="00A8331C" w:rsidRPr="00231BFB">
        <w:rPr>
          <w:rFonts w:cstheme="minorHAnsi"/>
          <w:sz w:val="22"/>
          <w:szCs w:val="22"/>
        </w:rPr>
        <w:t>eputy</w:t>
      </w:r>
      <w:r w:rsidR="00B47AF7">
        <w:rPr>
          <w:rFonts w:cstheme="minorHAnsi"/>
          <w:sz w:val="22"/>
          <w:szCs w:val="22"/>
        </w:rPr>
        <w:t>,</w:t>
      </w:r>
      <w:r w:rsidR="00D86401">
        <w:rPr>
          <w:rFonts w:cstheme="minorHAnsi"/>
          <w:sz w:val="22"/>
          <w:szCs w:val="22"/>
        </w:rPr>
        <w:t xml:space="preserve"> and later Director</w:t>
      </w:r>
      <w:r w:rsidR="00B47AF7">
        <w:rPr>
          <w:rFonts w:cstheme="minorHAnsi"/>
          <w:sz w:val="22"/>
          <w:szCs w:val="22"/>
        </w:rPr>
        <w:t>,</w:t>
      </w:r>
      <w:r w:rsidR="00A8331C" w:rsidRPr="00231BFB">
        <w:rPr>
          <w:rFonts w:cstheme="minorHAnsi"/>
          <w:sz w:val="22"/>
          <w:szCs w:val="22"/>
        </w:rPr>
        <w:t xml:space="preserve"> of the Women’s Section of the </w:t>
      </w:r>
      <w:r w:rsidR="00D86401">
        <w:rPr>
          <w:rFonts w:cstheme="minorHAnsi"/>
          <w:sz w:val="22"/>
          <w:szCs w:val="22"/>
        </w:rPr>
        <w:t xml:space="preserve">short-lived </w:t>
      </w:r>
      <w:r w:rsidR="00A8331C" w:rsidRPr="00124C4F">
        <w:rPr>
          <w:rFonts w:cstheme="minorHAnsi"/>
          <w:sz w:val="22"/>
          <w:szCs w:val="22"/>
        </w:rPr>
        <w:t>National Service Department, set up by Neville Chamberlain in 1916.</w:t>
      </w:r>
      <w:r w:rsidR="00C42470">
        <w:rPr>
          <w:rStyle w:val="FootnoteReference"/>
          <w:rFonts w:cstheme="minorHAnsi"/>
          <w:sz w:val="22"/>
          <w:szCs w:val="22"/>
        </w:rPr>
        <w:footnoteReference w:id="91"/>
      </w:r>
      <w:r w:rsidR="00A8331C" w:rsidRPr="00231BFB">
        <w:rPr>
          <w:rFonts w:cstheme="minorHAnsi"/>
          <w:sz w:val="22"/>
          <w:szCs w:val="22"/>
        </w:rPr>
        <w:t xml:space="preserve"> </w:t>
      </w:r>
      <w:r w:rsidR="00A8331C">
        <w:rPr>
          <w:rFonts w:cstheme="minorHAnsi"/>
          <w:sz w:val="22"/>
          <w:szCs w:val="22"/>
        </w:rPr>
        <w:lastRenderedPageBreak/>
        <w:t xml:space="preserve">Described by </w:t>
      </w:r>
      <w:r w:rsidR="00866C09">
        <w:rPr>
          <w:rFonts w:cstheme="minorHAnsi"/>
          <w:sz w:val="22"/>
          <w:szCs w:val="22"/>
        </w:rPr>
        <w:t>suffrage and women’s rights campaigner Mary</w:t>
      </w:r>
      <w:r w:rsidR="00A8331C">
        <w:rPr>
          <w:rFonts w:cstheme="minorHAnsi"/>
          <w:sz w:val="22"/>
          <w:szCs w:val="22"/>
        </w:rPr>
        <w:t xml:space="preserve"> Stocks as ‘the best feminist I’ve ever known</w:t>
      </w:r>
      <w:r>
        <w:rPr>
          <w:rFonts w:cstheme="minorHAnsi"/>
          <w:sz w:val="22"/>
          <w:szCs w:val="22"/>
        </w:rPr>
        <w:t>’</w:t>
      </w:r>
      <w:r w:rsidR="00F5577C">
        <w:rPr>
          <w:rFonts w:cstheme="minorHAnsi"/>
          <w:sz w:val="22"/>
          <w:szCs w:val="22"/>
        </w:rPr>
        <w:t>,</w:t>
      </w:r>
      <w:r w:rsidR="00F5577C">
        <w:rPr>
          <w:rStyle w:val="FootnoteReference"/>
          <w:rFonts w:cstheme="minorHAnsi"/>
          <w:sz w:val="22"/>
          <w:szCs w:val="22"/>
        </w:rPr>
        <w:footnoteReference w:id="92"/>
      </w:r>
      <w:r w:rsidR="00F5577C">
        <w:rPr>
          <w:rFonts w:cstheme="minorHAnsi"/>
          <w:sz w:val="22"/>
          <w:szCs w:val="22"/>
        </w:rPr>
        <w:t xml:space="preserve"> </w:t>
      </w:r>
      <w:r w:rsidR="00B7309B">
        <w:rPr>
          <w:rFonts w:cstheme="minorHAnsi"/>
          <w:sz w:val="22"/>
          <w:szCs w:val="22"/>
        </w:rPr>
        <w:t>s</w:t>
      </w:r>
      <w:r w:rsidR="00AE4140">
        <w:rPr>
          <w:rFonts w:cstheme="minorHAnsi"/>
          <w:sz w:val="22"/>
          <w:szCs w:val="22"/>
        </w:rPr>
        <w:t xml:space="preserve">he was also </w:t>
      </w:r>
      <w:r w:rsidR="00A16FAF">
        <w:rPr>
          <w:rFonts w:cstheme="minorHAnsi"/>
          <w:sz w:val="22"/>
          <w:szCs w:val="22"/>
        </w:rPr>
        <w:t xml:space="preserve">a </w:t>
      </w:r>
      <w:r w:rsidR="00AE3877">
        <w:rPr>
          <w:rFonts w:cstheme="minorHAnsi"/>
          <w:sz w:val="22"/>
          <w:szCs w:val="22"/>
        </w:rPr>
        <w:t>staunch imperialist</w:t>
      </w:r>
      <w:r w:rsidR="004B4C3F">
        <w:rPr>
          <w:rFonts w:cstheme="minorHAnsi"/>
          <w:sz w:val="22"/>
          <w:szCs w:val="22"/>
        </w:rPr>
        <w:t>.</w:t>
      </w:r>
      <w:r w:rsidR="00F5577C">
        <w:rPr>
          <w:rStyle w:val="FootnoteReference"/>
          <w:rFonts w:cstheme="minorHAnsi"/>
          <w:sz w:val="22"/>
          <w:szCs w:val="22"/>
        </w:rPr>
        <w:footnoteReference w:id="93"/>
      </w:r>
      <w:r w:rsidR="00A8331C">
        <w:rPr>
          <w:rFonts w:cstheme="minorHAnsi"/>
          <w:sz w:val="22"/>
          <w:szCs w:val="22"/>
        </w:rPr>
        <w:t xml:space="preserve"> </w:t>
      </w:r>
      <w:r w:rsidR="001E19A6">
        <w:rPr>
          <w:rFonts w:cstheme="minorHAnsi"/>
          <w:sz w:val="22"/>
          <w:szCs w:val="22"/>
        </w:rPr>
        <w:t xml:space="preserve">She served on the court until 1946. </w:t>
      </w:r>
    </w:p>
    <w:p w14:paraId="536A8376" w14:textId="38421B23" w:rsidR="00261370" w:rsidRDefault="00261370" w:rsidP="00F770DA">
      <w:pPr>
        <w:spacing w:line="360" w:lineRule="auto"/>
        <w:rPr>
          <w:rFonts w:cstheme="minorHAnsi"/>
          <w:sz w:val="22"/>
          <w:szCs w:val="22"/>
        </w:rPr>
      </w:pPr>
    </w:p>
    <w:p w14:paraId="5B17DC50" w14:textId="64E3008E" w:rsidR="00261370" w:rsidRPr="00904504" w:rsidRDefault="00904504" w:rsidP="00904504">
      <w:pPr>
        <w:spacing w:line="360" w:lineRule="auto"/>
        <w:jc w:val="center"/>
        <w:rPr>
          <w:rFonts w:cstheme="minorHAnsi"/>
          <w:b/>
          <w:bCs/>
          <w:sz w:val="22"/>
          <w:szCs w:val="22"/>
        </w:rPr>
      </w:pPr>
      <w:r>
        <w:rPr>
          <w:rFonts w:cstheme="minorHAnsi"/>
          <w:b/>
          <w:bCs/>
          <w:sz w:val="22"/>
          <w:szCs w:val="22"/>
        </w:rPr>
        <w:t xml:space="preserve">V. </w:t>
      </w:r>
      <w:r w:rsidR="00F5577C" w:rsidRPr="00904504">
        <w:rPr>
          <w:rFonts w:cstheme="minorHAnsi"/>
          <w:b/>
          <w:bCs/>
          <w:sz w:val="22"/>
          <w:szCs w:val="22"/>
        </w:rPr>
        <w:t>LESSONS FROM THE INDUSTRIAL COURT</w:t>
      </w:r>
    </w:p>
    <w:p w14:paraId="1E5116B5" w14:textId="78B6C37E" w:rsidR="00011D88" w:rsidRDefault="00011D88" w:rsidP="00F770DA">
      <w:pPr>
        <w:spacing w:line="360" w:lineRule="auto"/>
        <w:rPr>
          <w:rFonts w:cstheme="minorHAnsi"/>
          <w:sz w:val="22"/>
          <w:szCs w:val="22"/>
        </w:rPr>
      </w:pPr>
    </w:p>
    <w:p w14:paraId="0F798380" w14:textId="4A38BAE6" w:rsidR="001E19A6" w:rsidRDefault="001E19A6" w:rsidP="00F770DA">
      <w:pPr>
        <w:spacing w:line="360" w:lineRule="auto"/>
        <w:rPr>
          <w:rFonts w:cstheme="minorHAnsi"/>
          <w:sz w:val="22"/>
          <w:szCs w:val="22"/>
        </w:rPr>
      </w:pPr>
      <w:r>
        <w:rPr>
          <w:rFonts w:cstheme="minorHAnsi"/>
          <w:sz w:val="22"/>
          <w:szCs w:val="22"/>
        </w:rPr>
        <w:t>We</w:t>
      </w:r>
      <w:r w:rsidR="00F82118">
        <w:rPr>
          <w:rFonts w:cstheme="minorHAnsi"/>
          <w:sz w:val="22"/>
          <w:szCs w:val="22"/>
        </w:rPr>
        <w:t xml:space="preserve"> need</w:t>
      </w:r>
      <w:r>
        <w:rPr>
          <w:rFonts w:cstheme="minorHAnsi"/>
          <w:sz w:val="22"/>
          <w:szCs w:val="22"/>
        </w:rPr>
        <w:t>, of course,</w:t>
      </w:r>
      <w:r w:rsidR="00F82118">
        <w:rPr>
          <w:rFonts w:cstheme="minorHAnsi"/>
          <w:sz w:val="22"/>
          <w:szCs w:val="22"/>
        </w:rPr>
        <w:t xml:space="preserve"> to be careful with comparisons. </w:t>
      </w:r>
      <w:r w:rsidR="005E124F">
        <w:rPr>
          <w:rFonts w:cstheme="minorHAnsi"/>
          <w:sz w:val="22"/>
          <w:szCs w:val="22"/>
        </w:rPr>
        <w:t>While t</w:t>
      </w:r>
      <w:r w:rsidR="000A42BF">
        <w:rPr>
          <w:rFonts w:cstheme="minorHAnsi"/>
          <w:sz w:val="22"/>
          <w:szCs w:val="22"/>
        </w:rPr>
        <w:t>he Industrial Court</w:t>
      </w:r>
      <w:r w:rsidR="008D1B87">
        <w:rPr>
          <w:rFonts w:cstheme="minorHAnsi"/>
          <w:sz w:val="22"/>
          <w:szCs w:val="22"/>
        </w:rPr>
        <w:t>,</w:t>
      </w:r>
      <w:r w:rsidR="000A42BF">
        <w:rPr>
          <w:rFonts w:cstheme="minorHAnsi"/>
          <w:sz w:val="22"/>
          <w:szCs w:val="22"/>
        </w:rPr>
        <w:t xml:space="preserve"> </w:t>
      </w:r>
      <w:r w:rsidR="00966994">
        <w:rPr>
          <w:rFonts w:cstheme="minorHAnsi"/>
          <w:sz w:val="22"/>
          <w:szCs w:val="22"/>
        </w:rPr>
        <w:t>in the words of its first President</w:t>
      </w:r>
      <w:r w:rsidR="008D1B87">
        <w:rPr>
          <w:rFonts w:cstheme="minorHAnsi"/>
          <w:sz w:val="22"/>
          <w:szCs w:val="22"/>
        </w:rPr>
        <w:t>,</w:t>
      </w:r>
      <w:r w:rsidR="00966994">
        <w:rPr>
          <w:rFonts w:cstheme="minorHAnsi"/>
          <w:sz w:val="22"/>
          <w:szCs w:val="22"/>
        </w:rPr>
        <w:t xml:space="preserve"> </w:t>
      </w:r>
      <w:r w:rsidR="00053859">
        <w:rPr>
          <w:rFonts w:cstheme="minorHAnsi"/>
          <w:sz w:val="22"/>
          <w:szCs w:val="22"/>
        </w:rPr>
        <w:t xml:space="preserve">comprised ‘a new Judiciary’ </w:t>
      </w:r>
      <w:r w:rsidR="005E124F">
        <w:rPr>
          <w:rFonts w:cstheme="minorHAnsi"/>
          <w:sz w:val="22"/>
          <w:szCs w:val="22"/>
        </w:rPr>
        <w:t xml:space="preserve">and the ‘reasons for its decisions … [were] stated with judicial preciseness’, </w:t>
      </w:r>
      <w:r w:rsidR="00053859">
        <w:rPr>
          <w:rFonts w:cstheme="minorHAnsi"/>
          <w:sz w:val="22"/>
          <w:szCs w:val="22"/>
        </w:rPr>
        <w:t xml:space="preserve">it </w:t>
      </w:r>
      <w:r w:rsidR="000A42BF">
        <w:rPr>
          <w:rFonts w:cstheme="minorHAnsi"/>
          <w:sz w:val="22"/>
          <w:szCs w:val="22"/>
        </w:rPr>
        <w:t>was not a</w:t>
      </w:r>
      <w:r w:rsidR="005E124F">
        <w:rPr>
          <w:rFonts w:cstheme="minorHAnsi"/>
          <w:sz w:val="22"/>
          <w:szCs w:val="22"/>
        </w:rPr>
        <w:t xml:space="preserve">n ordinary </w:t>
      </w:r>
      <w:r w:rsidR="000A42BF">
        <w:rPr>
          <w:rFonts w:cstheme="minorHAnsi"/>
          <w:sz w:val="22"/>
          <w:szCs w:val="22"/>
        </w:rPr>
        <w:t>court of law</w:t>
      </w:r>
      <w:r w:rsidR="001E7C20">
        <w:rPr>
          <w:rFonts w:cstheme="minorHAnsi"/>
          <w:sz w:val="22"/>
          <w:szCs w:val="22"/>
        </w:rPr>
        <w:t>.</w:t>
      </w:r>
      <w:r w:rsidR="00053859">
        <w:rPr>
          <w:rStyle w:val="FootnoteReference"/>
          <w:rFonts w:cstheme="minorHAnsi"/>
          <w:sz w:val="22"/>
          <w:szCs w:val="22"/>
        </w:rPr>
        <w:footnoteReference w:id="94"/>
      </w:r>
      <w:r w:rsidR="00053859">
        <w:rPr>
          <w:rFonts w:cstheme="minorHAnsi"/>
          <w:sz w:val="22"/>
          <w:szCs w:val="22"/>
        </w:rPr>
        <w:t xml:space="preserve"> </w:t>
      </w:r>
      <w:r w:rsidR="005E124F">
        <w:rPr>
          <w:rFonts w:cstheme="minorHAnsi"/>
          <w:sz w:val="22"/>
          <w:szCs w:val="22"/>
        </w:rPr>
        <w:t>The</w:t>
      </w:r>
      <w:r w:rsidR="001E7C20">
        <w:rPr>
          <w:rFonts w:cstheme="minorHAnsi"/>
          <w:sz w:val="22"/>
          <w:szCs w:val="22"/>
        </w:rPr>
        <w:t xml:space="preserve"> </w:t>
      </w:r>
      <w:r w:rsidR="00906707">
        <w:rPr>
          <w:rFonts w:cstheme="minorHAnsi"/>
          <w:sz w:val="22"/>
          <w:szCs w:val="22"/>
        </w:rPr>
        <w:t>judge</w:t>
      </w:r>
      <w:r w:rsidR="00053859">
        <w:rPr>
          <w:rFonts w:cstheme="minorHAnsi"/>
          <w:sz w:val="22"/>
          <w:szCs w:val="22"/>
        </w:rPr>
        <w:t>’</w:t>
      </w:r>
      <w:r w:rsidR="00906707">
        <w:rPr>
          <w:rFonts w:cstheme="minorHAnsi"/>
          <w:sz w:val="22"/>
          <w:szCs w:val="22"/>
        </w:rPr>
        <w:t>s role on the</w:t>
      </w:r>
      <w:r w:rsidR="00580143">
        <w:rPr>
          <w:rFonts w:cstheme="minorHAnsi"/>
          <w:sz w:val="22"/>
          <w:szCs w:val="22"/>
        </w:rPr>
        <w:t xml:space="preserve"> Industrial</w:t>
      </w:r>
      <w:r w:rsidR="00906707">
        <w:rPr>
          <w:rFonts w:cstheme="minorHAnsi"/>
          <w:sz w:val="22"/>
          <w:szCs w:val="22"/>
        </w:rPr>
        <w:t xml:space="preserve"> </w:t>
      </w:r>
      <w:r w:rsidR="000A42BF">
        <w:rPr>
          <w:rFonts w:cstheme="minorHAnsi"/>
          <w:sz w:val="22"/>
          <w:szCs w:val="22"/>
        </w:rPr>
        <w:t xml:space="preserve">Court </w:t>
      </w:r>
      <w:r w:rsidR="00053859">
        <w:rPr>
          <w:rFonts w:cstheme="minorHAnsi"/>
          <w:sz w:val="22"/>
          <w:szCs w:val="22"/>
        </w:rPr>
        <w:t>was</w:t>
      </w:r>
      <w:r w:rsidR="000A42BF">
        <w:rPr>
          <w:rFonts w:cstheme="minorHAnsi"/>
          <w:sz w:val="22"/>
          <w:szCs w:val="22"/>
        </w:rPr>
        <w:t xml:space="preserve"> closer to that </w:t>
      </w:r>
      <w:r w:rsidR="00580143">
        <w:rPr>
          <w:rFonts w:cstheme="minorHAnsi"/>
          <w:sz w:val="22"/>
          <w:szCs w:val="22"/>
        </w:rPr>
        <w:t>of</w:t>
      </w:r>
      <w:r w:rsidR="00906707">
        <w:rPr>
          <w:rFonts w:cstheme="minorHAnsi"/>
          <w:sz w:val="22"/>
          <w:szCs w:val="22"/>
        </w:rPr>
        <w:t xml:space="preserve"> </w:t>
      </w:r>
      <w:r w:rsidR="001E7C20">
        <w:rPr>
          <w:rFonts w:cstheme="minorHAnsi"/>
          <w:sz w:val="22"/>
          <w:szCs w:val="22"/>
        </w:rPr>
        <w:t>a</w:t>
      </w:r>
      <w:r w:rsidR="00053859">
        <w:rPr>
          <w:rFonts w:cstheme="minorHAnsi"/>
          <w:sz w:val="22"/>
          <w:szCs w:val="22"/>
        </w:rPr>
        <w:t xml:space="preserve"> modern-day a</w:t>
      </w:r>
      <w:r w:rsidR="001E7C20">
        <w:rPr>
          <w:rFonts w:cstheme="minorHAnsi"/>
          <w:sz w:val="22"/>
          <w:szCs w:val="22"/>
        </w:rPr>
        <w:t>rbitrator</w:t>
      </w:r>
      <w:r w:rsidR="000A42BF">
        <w:rPr>
          <w:rFonts w:cstheme="minorHAnsi"/>
          <w:sz w:val="22"/>
          <w:szCs w:val="22"/>
        </w:rPr>
        <w:t>.</w:t>
      </w:r>
      <w:r w:rsidR="000C4C1A">
        <w:rPr>
          <w:rFonts w:cstheme="minorHAnsi"/>
          <w:sz w:val="22"/>
          <w:szCs w:val="22"/>
        </w:rPr>
        <w:t xml:space="preserve"> Nor was </w:t>
      </w:r>
      <w:r w:rsidR="00F82118">
        <w:rPr>
          <w:rFonts w:cstheme="minorHAnsi"/>
          <w:sz w:val="22"/>
          <w:szCs w:val="22"/>
        </w:rPr>
        <w:t>women’s</w:t>
      </w:r>
      <w:r w:rsidR="000C4C1A">
        <w:rPr>
          <w:rFonts w:cstheme="minorHAnsi"/>
          <w:sz w:val="22"/>
          <w:szCs w:val="22"/>
        </w:rPr>
        <w:t xml:space="preserve"> presence in these types of roles unusual.</w:t>
      </w:r>
      <w:r w:rsidR="000A42BF">
        <w:rPr>
          <w:rFonts w:cstheme="minorHAnsi"/>
          <w:sz w:val="22"/>
          <w:szCs w:val="22"/>
        </w:rPr>
        <w:t xml:space="preserve"> </w:t>
      </w:r>
      <w:r w:rsidR="000C4C1A">
        <w:rPr>
          <w:rFonts w:cstheme="minorHAnsi"/>
          <w:sz w:val="22"/>
          <w:szCs w:val="22"/>
        </w:rPr>
        <w:t>By</w:t>
      </w:r>
      <w:r w:rsidR="000A42BF">
        <w:rPr>
          <w:rFonts w:cstheme="minorHAnsi"/>
          <w:sz w:val="22"/>
          <w:szCs w:val="22"/>
        </w:rPr>
        <w:t xml:space="preserve"> </w:t>
      </w:r>
      <w:r w:rsidR="000A42BF" w:rsidRPr="00132E6F">
        <w:rPr>
          <w:rFonts w:cstheme="minorHAnsi"/>
          <w:sz w:val="22"/>
          <w:szCs w:val="22"/>
        </w:rPr>
        <w:t xml:space="preserve">1919 middle-class women had been </w:t>
      </w:r>
      <w:r>
        <w:rPr>
          <w:rFonts w:cstheme="minorHAnsi"/>
          <w:sz w:val="22"/>
          <w:szCs w:val="22"/>
        </w:rPr>
        <w:t>performing</w:t>
      </w:r>
      <w:r w:rsidR="000A42BF" w:rsidRPr="00132E6F">
        <w:rPr>
          <w:rFonts w:cstheme="minorHAnsi"/>
          <w:sz w:val="22"/>
          <w:szCs w:val="22"/>
        </w:rPr>
        <w:t xml:space="preserve"> important philanthropic </w:t>
      </w:r>
      <w:r w:rsidR="000A42BF">
        <w:rPr>
          <w:rFonts w:cstheme="minorHAnsi"/>
          <w:sz w:val="22"/>
          <w:szCs w:val="22"/>
        </w:rPr>
        <w:t>– and often quasi-legal</w:t>
      </w:r>
      <w:r w:rsidR="000C4C1A">
        <w:rPr>
          <w:rFonts w:cstheme="minorHAnsi"/>
          <w:sz w:val="22"/>
          <w:szCs w:val="22"/>
        </w:rPr>
        <w:t xml:space="preserve"> or judicial</w:t>
      </w:r>
      <w:r w:rsidR="000A42BF">
        <w:rPr>
          <w:rFonts w:cstheme="minorHAnsi"/>
          <w:sz w:val="22"/>
          <w:szCs w:val="22"/>
        </w:rPr>
        <w:t xml:space="preserve"> – </w:t>
      </w:r>
      <w:r w:rsidR="000A42BF" w:rsidRPr="00132E6F">
        <w:rPr>
          <w:rFonts w:cstheme="minorHAnsi"/>
          <w:sz w:val="22"/>
          <w:szCs w:val="22"/>
        </w:rPr>
        <w:t>roles in public and civic life</w:t>
      </w:r>
      <w:r w:rsidR="004B4C3F">
        <w:rPr>
          <w:rFonts w:cstheme="minorHAnsi"/>
          <w:sz w:val="22"/>
          <w:szCs w:val="22"/>
        </w:rPr>
        <w:t xml:space="preserve">, </w:t>
      </w:r>
      <w:r w:rsidR="000A42BF" w:rsidRPr="00132E6F">
        <w:rPr>
          <w:rFonts w:cstheme="minorHAnsi"/>
          <w:sz w:val="22"/>
          <w:szCs w:val="22"/>
        </w:rPr>
        <w:t>as local government councillors, factory inspectors and poor law guardians</w:t>
      </w:r>
      <w:r w:rsidR="004B4C3F">
        <w:rPr>
          <w:rFonts w:cstheme="minorHAnsi"/>
          <w:sz w:val="22"/>
          <w:szCs w:val="22"/>
        </w:rPr>
        <w:t>,</w:t>
      </w:r>
      <w:r w:rsidR="000A42BF" w:rsidRPr="00132E6F">
        <w:rPr>
          <w:rFonts w:cstheme="minorHAnsi"/>
          <w:sz w:val="22"/>
          <w:szCs w:val="22"/>
        </w:rPr>
        <w:t xml:space="preserve"> for some time</w:t>
      </w:r>
      <w:r w:rsidR="00B76937">
        <w:rPr>
          <w:rFonts w:cstheme="minorHAnsi"/>
          <w:sz w:val="22"/>
          <w:szCs w:val="22"/>
        </w:rPr>
        <w:t>.</w:t>
      </w:r>
      <w:r w:rsidR="008D1B87">
        <w:rPr>
          <w:rStyle w:val="FootnoteReference"/>
          <w:rFonts w:cstheme="minorHAnsi"/>
          <w:sz w:val="22"/>
          <w:szCs w:val="22"/>
        </w:rPr>
        <w:footnoteReference w:id="95"/>
      </w:r>
      <w:r w:rsidR="00B76937">
        <w:rPr>
          <w:rFonts w:cstheme="minorHAnsi"/>
          <w:sz w:val="22"/>
          <w:szCs w:val="22"/>
        </w:rPr>
        <w:t xml:space="preserve"> </w:t>
      </w:r>
      <w:r w:rsidR="008D1B87">
        <w:rPr>
          <w:rFonts w:cstheme="minorHAnsi"/>
          <w:sz w:val="22"/>
          <w:szCs w:val="22"/>
        </w:rPr>
        <w:t>W</w:t>
      </w:r>
      <w:r w:rsidR="003C5057">
        <w:rPr>
          <w:rFonts w:cstheme="minorHAnsi"/>
          <w:sz w:val="22"/>
          <w:szCs w:val="22"/>
        </w:rPr>
        <w:t>ithin weeks</w:t>
      </w:r>
      <w:r w:rsidR="00A937D8">
        <w:rPr>
          <w:rFonts w:cstheme="minorHAnsi"/>
          <w:sz w:val="22"/>
          <w:szCs w:val="22"/>
        </w:rPr>
        <w:t>, by virtue of</w:t>
      </w:r>
      <w:r w:rsidR="002609A3">
        <w:rPr>
          <w:rFonts w:cstheme="minorHAnsi"/>
          <w:sz w:val="22"/>
          <w:szCs w:val="22"/>
        </w:rPr>
        <w:t xml:space="preserve"> the more familiar 1919 Act (</w:t>
      </w:r>
      <w:r w:rsidR="00A937D8">
        <w:rPr>
          <w:rFonts w:cstheme="minorHAnsi"/>
          <w:sz w:val="22"/>
          <w:szCs w:val="22"/>
        </w:rPr>
        <w:t xml:space="preserve">the Sex </w:t>
      </w:r>
      <w:r w:rsidR="00D60129">
        <w:rPr>
          <w:rFonts w:cstheme="minorHAnsi"/>
          <w:sz w:val="22"/>
          <w:szCs w:val="22"/>
        </w:rPr>
        <w:t>Disqualification</w:t>
      </w:r>
      <w:r w:rsidR="00A937D8">
        <w:rPr>
          <w:rFonts w:cstheme="minorHAnsi"/>
          <w:sz w:val="22"/>
          <w:szCs w:val="22"/>
        </w:rPr>
        <w:t xml:space="preserve"> (Removal) Act 1919</w:t>
      </w:r>
      <w:r w:rsidR="002609A3">
        <w:rPr>
          <w:rFonts w:cstheme="minorHAnsi"/>
          <w:sz w:val="22"/>
          <w:szCs w:val="22"/>
        </w:rPr>
        <w:t>)</w:t>
      </w:r>
      <w:r w:rsidR="00A937D8">
        <w:rPr>
          <w:rFonts w:cstheme="minorHAnsi"/>
          <w:sz w:val="22"/>
          <w:szCs w:val="22"/>
        </w:rPr>
        <w:t>,</w:t>
      </w:r>
      <w:r w:rsidR="00174695">
        <w:rPr>
          <w:rFonts w:cstheme="minorHAnsi"/>
          <w:sz w:val="22"/>
          <w:szCs w:val="22"/>
        </w:rPr>
        <w:t xml:space="preserve"> women would be able to join the professions and civil service and</w:t>
      </w:r>
      <w:r w:rsidR="00A937D8">
        <w:rPr>
          <w:rFonts w:cstheme="minorHAnsi"/>
          <w:sz w:val="22"/>
          <w:szCs w:val="22"/>
        </w:rPr>
        <w:t xml:space="preserve"> </w:t>
      </w:r>
      <w:r w:rsidR="00A937D8" w:rsidRPr="00A937D8">
        <w:rPr>
          <w:rFonts w:cstheme="minorHAnsi"/>
          <w:sz w:val="22"/>
          <w:szCs w:val="22"/>
        </w:rPr>
        <w:t xml:space="preserve">the names of the first seven women </w:t>
      </w:r>
      <w:r w:rsidR="00A937D8">
        <w:rPr>
          <w:rFonts w:cstheme="minorHAnsi"/>
          <w:sz w:val="22"/>
          <w:szCs w:val="22"/>
        </w:rPr>
        <w:t xml:space="preserve">magistrates </w:t>
      </w:r>
      <w:r w:rsidR="00B76937">
        <w:rPr>
          <w:rFonts w:cstheme="minorHAnsi"/>
          <w:sz w:val="22"/>
          <w:szCs w:val="22"/>
        </w:rPr>
        <w:t>would be</w:t>
      </w:r>
      <w:r w:rsidR="00A937D8">
        <w:rPr>
          <w:rFonts w:cstheme="minorHAnsi"/>
          <w:sz w:val="22"/>
          <w:szCs w:val="22"/>
        </w:rPr>
        <w:t xml:space="preserve"> </w:t>
      </w:r>
      <w:r w:rsidR="00A937D8" w:rsidRPr="00A937D8">
        <w:rPr>
          <w:rFonts w:cstheme="minorHAnsi"/>
          <w:sz w:val="22"/>
          <w:szCs w:val="22"/>
        </w:rPr>
        <w:t>announce</w:t>
      </w:r>
      <w:r w:rsidR="002D2AC2">
        <w:rPr>
          <w:rFonts w:cstheme="minorHAnsi"/>
          <w:sz w:val="22"/>
          <w:szCs w:val="22"/>
        </w:rPr>
        <w:t>d</w:t>
      </w:r>
      <w:r w:rsidR="00174695">
        <w:rPr>
          <w:rFonts w:cstheme="minorHAnsi"/>
          <w:sz w:val="22"/>
          <w:szCs w:val="22"/>
        </w:rPr>
        <w:t xml:space="preserve">. And by the end of the year, </w:t>
      </w:r>
      <w:r w:rsidR="00A937D8">
        <w:rPr>
          <w:rFonts w:cstheme="minorHAnsi"/>
          <w:sz w:val="22"/>
          <w:szCs w:val="22"/>
        </w:rPr>
        <w:t>Ada</w:t>
      </w:r>
      <w:r w:rsidR="00A937D8" w:rsidRPr="00A937D8">
        <w:t xml:space="preserve"> </w:t>
      </w:r>
      <w:r w:rsidR="00A937D8" w:rsidRPr="00A937D8">
        <w:rPr>
          <w:rFonts w:cstheme="minorHAnsi"/>
          <w:sz w:val="22"/>
          <w:szCs w:val="22"/>
        </w:rPr>
        <w:t xml:space="preserve">Summers, </w:t>
      </w:r>
      <w:r w:rsidR="00C967D2">
        <w:rPr>
          <w:rFonts w:cstheme="minorHAnsi"/>
          <w:sz w:val="22"/>
          <w:szCs w:val="22"/>
        </w:rPr>
        <w:t xml:space="preserve">by virtue of her role as </w:t>
      </w:r>
      <w:r w:rsidR="00966994">
        <w:rPr>
          <w:rFonts w:cstheme="minorHAnsi"/>
          <w:sz w:val="22"/>
          <w:szCs w:val="22"/>
        </w:rPr>
        <w:t>Mayor of Stalybridge,</w:t>
      </w:r>
      <w:r w:rsidR="00C967D2">
        <w:rPr>
          <w:rFonts w:cstheme="minorHAnsi"/>
          <w:sz w:val="22"/>
          <w:szCs w:val="22"/>
        </w:rPr>
        <w:t xml:space="preserve"> </w:t>
      </w:r>
      <w:r w:rsidR="00B76937">
        <w:rPr>
          <w:rFonts w:cstheme="minorHAnsi"/>
          <w:sz w:val="22"/>
          <w:szCs w:val="22"/>
        </w:rPr>
        <w:t>would become (on New Year’s Eve 1919)</w:t>
      </w:r>
      <w:r w:rsidR="00A937D8" w:rsidRPr="00A937D8">
        <w:rPr>
          <w:rFonts w:cstheme="minorHAnsi"/>
          <w:sz w:val="22"/>
          <w:szCs w:val="22"/>
        </w:rPr>
        <w:t xml:space="preserve"> the first woman to preside in a magistrates’ court</w:t>
      </w:r>
      <w:r w:rsidR="00A937D8">
        <w:rPr>
          <w:rFonts w:cstheme="minorHAnsi"/>
          <w:sz w:val="22"/>
          <w:szCs w:val="22"/>
        </w:rPr>
        <w:t>.</w:t>
      </w:r>
      <w:r w:rsidR="003165B8" w:rsidRPr="003165B8">
        <w:rPr>
          <w:rFonts w:cstheme="minorHAnsi"/>
          <w:sz w:val="22"/>
          <w:szCs w:val="22"/>
        </w:rPr>
        <w:t xml:space="preserve"> </w:t>
      </w:r>
      <w:r w:rsidR="003165B8">
        <w:rPr>
          <w:rFonts w:cstheme="minorHAnsi"/>
          <w:sz w:val="22"/>
          <w:szCs w:val="22"/>
        </w:rPr>
        <w:t>Nevertheless, there are three lessons we might draw out as relevant to current diversity debates.</w:t>
      </w:r>
    </w:p>
    <w:p w14:paraId="748F5B2A" w14:textId="77777777" w:rsidR="005411FB" w:rsidRDefault="005411FB" w:rsidP="00F770DA">
      <w:pPr>
        <w:spacing w:line="360" w:lineRule="auto"/>
        <w:rPr>
          <w:rFonts w:cstheme="minorHAnsi"/>
          <w:sz w:val="22"/>
          <w:szCs w:val="22"/>
        </w:rPr>
      </w:pPr>
    </w:p>
    <w:p w14:paraId="69F50306" w14:textId="12761BD9" w:rsidR="005411FB" w:rsidRPr="005411FB" w:rsidRDefault="005411FB" w:rsidP="005411FB">
      <w:pPr>
        <w:spacing w:line="360" w:lineRule="auto"/>
        <w:jc w:val="center"/>
        <w:rPr>
          <w:rFonts w:cstheme="minorHAnsi"/>
          <w:i/>
          <w:iCs/>
          <w:sz w:val="22"/>
          <w:szCs w:val="22"/>
        </w:rPr>
      </w:pPr>
      <w:r>
        <w:rPr>
          <w:rFonts w:cstheme="minorHAnsi"/>
          <w:i/>
          <w:iCs/>
          <w:sz w:val="22"/>
          <w:szCs w:val="22"/>
        </w:rPr>
        <w:t xml:space="preserve">a. Political will and leadership </w:t>
      </w:r>
    </w:p>
    <w:p w14:paraId="4BA1F11A" w14:textId="77777777" w:rsidR="001E19A6" w:rsidRDefault="001E19A6" w:rsidP="00F770DA">
      <w:pPr>
        <w:spacing w:line="360" w:lineRule="auto"/>
        <w:rPr>
          <w:rFonts w:cstheme="minorHAnsi"/>
          <w:sz w:val="22"/>
          <w:szCs w:val="22"/>
        </w:rPr>
      </w:pPr>
    </w:p>
    <w:p w14:paraId="7A68D746" w14:textId="18A5643F" w:rsidR="00A74B4A" w:rsidRDefault="00B76937" w:rsidP="00F770DA">
      <w:pPr>
        <w:spacing w:line="360" w:lineRule="auto"/>
        <w:rPr>
          <w:rFonts w:cstheme="minorHAnsi"/>
          <w:sz w:val="22"/>
          <w:szCs w:val="22"/>
        </w:rPr>
      </w:pPr>
      <w:r>
        <w:rPr>
          <w:rFonts w:cstheme="minorHAnsi"/>
          <w:sz w:val="22"/>
          <w:szCs w:val="22"/>
        </w:rPr>
        <w:t>First</w:t>
      </w:r>
      <w:r w:rsidR="00CC57B7">
        <w:rPr>
          <w:rFonts w:cstheme="minorHAnsi"/>
          <w:sz w:val="22"/>
          <w:szCs w:val="22"/>
        </w:rPr>
        <w:t xml:space="preserve"> is</w:t>
      </w:r>
      <w:r>
        <w:rPr>
          <w:rFonts w:cstheme="minorHAnsi"/>
          <w:sz w:val="22"/>
          <w:szCs w:val="22"/>
        </w:rPr>
        <w:t xml:space="preserve"> the importance </w:t>
      </w:r>
      <w:r w:rsidR="006B42D5">
        <w:rPr>
          <w:rFonts w:cstheme="minorHAnsi"/>
          <w:sz w:val="22"/>
          <w:szCs w:val="22"/>
        </w:rPr>
        <w:t xml:space="preserve">of political will and leadership. </w:t>
      </w:r>
      <w:r w:rsidR="00271448">
        <w:rPr>
          <w:rFonts w:cstheme="minorHAnsi"/>
          <w:sz w:val="22"/>
          <w:szCs w:val="22"/>
        </w:rPr>
        <w:t xml:space="preserve">This has been </w:t>
      </w:r>
      <w:r w:rsidR="006B42D5">
        <w:rPr>
          <w:rFonts w:cstheme="minorHAnsi"/>
          <w:sz w:val="22"/>
          <w:szCs w:val="22"/>
        </w:rPr>
        <w:t xml:space="preserve">identified as one of three </w:t>
      </w:r>
      <w:r w:rsidR="00271448">
        <w:rPr>
          <w:rFonts w:cstheme="minorHAnsi"/>
          <w:sz w:val="22"/>
          <w:szCs w:val="22"/>
        </w:rPr>
        <w:t xml:space="preserve">most important </w:t>
      </w:r>
      <w:r w:rsidR="006B42D5">
        <w:rPr>
          <w:rFonts w:cstheme="minorHAnsi"/>
          <w:sz w:val="22"/>
          <w:szCs w:val="22"/>
        </w:rPr>
        <w:t xml:space="preserve">levers, alongside </w:t>
      </w:r>
      <w:r w:rsidR="003165B8">
        <w:rPr>
          <w:rFonts w:cstheme="minorHAnsi"/>
          <w:sz w:val="22"/>
          <w:szCs w:val="22"/>
        </w:rPr>
        <w:t xml:space="preserve">the use of </w:t>
      </w:r>
      <w:r w:rsidR="006B42D5">
        <w:rPr>
          <w:rFonts w:cstheme="minorHAnsi"/>
          <w:sz w:val="22"/>
          <w:szCs w:val="22"/>
        </w:rPr>
        <w:t>nominating commissions and</w:t>
      </w:r>
      <w:r w:rsidR="003165B8">
        <w:rPr>
          <w:rFonts w:cstheme="minorHAnsi"/>
          <w:sz w:val="22"/>
          <w:szCs w:val="22"/>
        </w:rPr>
        <w:t xml:space="preserve"> a clearly delineated </w:t>
      </w:r>
      <w:r w:rsidR="006B42D5">
        <w:rPr>
          <w:rFonts w:cstheme="minorHAnsi"/>
          <w:sz w:val="22"/>
          <w:szCs w:val="22"/>
        </w:rPr>
        <w:t>career path</w:t>
      </w:r>
      <w:r w:rsidR="003165B8">
        <w:rPr>
          <w:rFonts w:cstheme="minorHAnsi"/>
          <w:sz w:val="22"/>
          <w:szCs w:val="22"/>
        </w:rPr>
        <w:t xml:space="preserve"> and progression</w:t>
      </w:r>
      <w:r w:rsidR="006B42D5">
        <w:rPr>
          <w:rFonts w:cstheme="minorHAnsi"/>
          <w:sz w:val="22"/>
          <w:szCs w:val="22"/>
        </w:rPr>
        <w:t>, in securing change to the composition of the judiciary.</w:t>
      </w:r>
      <w:r w:rsidR="006B42D5">
        <w:rPr>
          <w:rStyle w:val="FootnoteReference"/>
          <w:rFonts w:cstheme="minorHAnsi"/>
          <w:sz w:val="22"/>
          <w:szCs w:val="22"/>
        </w:rPr>
        <w:footnoteReference w:id="96"/>
      </w:r>
      <w:r w:rsidR="006B42D5">
        <w:rPr>
          <w:rFonts w:cstheme="minorHAnsi"/>
          <w:sz w:val="22"/>
          <w:szCs w:val="22"/>
        </w:rPr>
        <w:t xml:space="preserve"> </w:t>
      </w:r>
      <w:r w:rsidR="00271448">
        <w:rPr>
          <w:rFonts w:cstheme="minorHAnsi"/>
          <w:sz w:val="22"/>
          <w:szCs w:val="22"/>
        </w:rPr>
        <w:t>It is clear that w</w:t>
      </w:r>
      <w:r w:rsidR="009A6D01">
        <w:rPr>
          <w:rFonts w:cstheme="minorHAnsi"/>
          <w:sz w:val="22"/>
          <w:szCs w:val="22"/>
        </w:rPr>
        <w:t xml:space="preserve">ithout active and strategic leadership, as we are seeing, progress toward diversity </w:t>
      </w:r>
      <w:r w:rsidR="00CC57B7">
        <w:rPr>
          <w:rFonts w:cstheme="minorHAnsi"/>
          <w:sz w:val="22"/>
          <w:szCs w:val="22"/>
        </w:rPr>
        <w:t>will</w:t>
      </w:r>
      <w:r w:rsidR="009A6D01">
        <w:rPr>
          <w:rFonts w:cstheme="minorHAnsi"/>
          <w:sz w:val="22"/>
          <w:szCs w:val="22"/>
        </w:rPr>
        <w:t xml:space="preserve"> be slower, more fragile, and more risk adverse.</w:t>
      </w:r>
      <w:r w:rsidR="009A6D01">
        <w:rPr>
          <w:rStyle w:val="FootnoteReference"/>
          <w:rFonts w:cstheme="minorHAnsi"/>
          <w:sz w:val="22"/>
          <w:szCs w:val="22"/>
        </w:rPr>
        <w:footnoteReference w:id="97"/>
      </w:r>
      <w:r w:rsidR="009A6D01">
        <w:rPr>
          <w:rFonts w:cstheme="minorHAnsi"/>
          <w:sz w:val="22"/>
          <w:szCs w:val="22"/>
        </w:rPr>
        <w:t xml:space="preserve"> </w:t>
      </w:r>
      <w:r w:rsidR="008D1B87">
        <w:rPr>
          <w:rFonts w:cstheme="minorHAnsi"/>
          <w:sz w:val="22"/>
          <w:szCs w:val="22"/>
        </w:rPr>
        <w:t xml:space="preserve">The debates leading up to the establishment of the Industrial Court </w:t>
      </w:r>
      <w:r w:rsidR="00271448">
        <w:rPr>
          <w:rFonts w:cstheme="minorHAnsi"/>
          <w:sz w:val="22"/>
          <w:szCs w:val="22"/>
        </w:rPr>
        <w:t xml:space="preserve">are a case in point. Without </w:t>
      </w:r>
      <w:r w:rsidR="00A7145C">
        <w:rPr>
          <w:rFonts w:cstheme="minorHAnsi"/>
          <w:sz w:val="22"/>
          <w:szCs w:val="22"/>
        </w:rPr>
        <w:t xml:space="preserve">the </w:t>
      </w:r>
      <w:r w:rsidR="005E5B3D">
        <w:rPr>
          <w:rFonts w:cstheme="minorHAnsi"/>
          <w:sz w:val="22"/>
          <w:szCs w:val="22"/>
        </w:rPr>
        <w:t xml:space="preserve">clear and deliberate </w:t>
      </w:r>
      <w:r w:rsidR="00A7145C">
        <w:rPr>
          <w:rFonts w:cstheme="minorHAnsi"/>
          <w:sz w:val="22"/>
          <w:szCs w:val="22"/>
        </w:rPr>
        <w:t>leadership of</w:t>
      </w:r>
      <w:r>
        <w:rPr>
          <w:rFonts w:cstheme="minorHAnsi"/>
          <w:sz w:val="22"/>
          <w:szCs w:val="22"/>
        </w:rPr>
        <w:t xml:space="preserve"> </w:t>
      </w:r>
      <w:r w:rsidR="00BE6618">
        <w:rPr>
          <w:rFonts w:cstheme="minorHAnsi"/>
          <w:sz w:val="22"/>
          <w:szCs w:val="22"/>
        </w:rPr>
        <w:t xml:space="preserve">Alexander </w:t>
      </w:r>
      <w:r>
        <w:rPr>
          <w:rFonts w:cstheme="minorHAnsi"/>
          <w:sz w:val="22"/>
          <w:szCs w:val="22"/>
        </w:rPr>
        <w:t>Shaw</w:t>
      </w:r>
      <w:r w:rsidR="003D5F4B">
        <w:rPr>
          <w:rFonts w:cstheme="minorHAnsi"/>
          <w:sz w:val="22"/>
          <w:szCs w:val="22"/>
        </w:rPr>
        <w:t xml:space="preserve"> </w:t>
      </w:r>
      <w:r>
        <w:rPr>
          <w:rFonts w:cstheme="minorHAnsi"/>
          <w:sz w:val="22"/>
          <w:szCs w:val="22"/>
        </w:rPr>
        <w:t xml:space="preserve">in proposing the amendment and leading the </w:t>
      </w:r>
      <w:r w:rsidR="001E7C20">
        <w:rPr>
          <w:rFonts w:cstheme="minorHAnsi"/>
          <w:sz w:val="22"/>
          <w:szCs w:val="22"/>
        </w:rPr>
        <w:t>debate</w:t>
      </w:r>
      <w:r w:rsidR="009868B0">
        <w:rPr>
          <w:rFonts w:cstheme="minorHAnsi"/>
          <w:sz w:val="22"/>
          <w:szCs w:val="22"/>
        </w:rPr>
        <w:t>,</w:t>
      </w:r>
      <w:r w:rsidR="001E7C20">
        <w:rPr>
          <w:rFonts w:cstheme="minorHAnsi"/>
          <w:sz w:val="22"/>
          <w:szCs w:val="22"/>
        </w:rPr>
        <w:t xml:space="preserve"> </w:t>
      </w:r>
      <w:r w:rsidR="00271448">
        <w:rPr>
          <w:rFonts w:cstheme="minorHAnsi"/>
          <w:sz w:val="22"/>
          <w:szCs w:val="22"/>
        </w:rPr>
        <w:t xml:space="preserve">and his ability to bring </w:t>
      </w:r>
      <w:r w:rsidR="001E7C20">
        <w:rPr>
          <w:rFonts w:cstheme="minorHAnsi"/>
          <w:sz w:val="22"/>
          <w:szCs w:val="22"/>
        </w:rPr>
        <w:t xml:space="preserve">leading figures from </w:t>
      </w:r>
      <w:r w:rsidR="00A7145C">
        <w:rPr>
          <w:rFonts w:cstheme="minorHAnsi"/>
          <w:sz w:val="22"/>
          <w:szCs w:val="22"/>
        </w:rPr>
        <w:t xml:space="preserve">both </w:t>
      </w:r>
      <w:r w:rsidR="001E7C20">
        <w:rPr>
          <w:rFonts w:cstheme="minorHAnsi"/>
          <w:sz w:val="22"/>
          <w:szCs w:val="22"/>
        </w:rPr>
        <w:t>side</w:t>
      </w:r>
      <w:r w:rsidR="00A7145C">
        <w:rPr>
          <w:rFonts w:cstheme="minorHAnsi"/>
          <w:sz w:val="22"/>
          <w:szCs w:val="22"/>
        </w:rPr>
        <w:t>s</w:t>
      </w:r>
      <w:r w:rsidR="001E7C20">
        <w:rPr>
          <w:rFonts w:cstheme="minorHAnsi"/>
          <w:sz w:val="22"/>
          <w:szCs w:val="22"/>
        </w:rPr>
        <w:t xml:space="preserve"> of the political divide </w:t>
      </w:r>
      <w:r w:rsidR="00271448">
        <w:rPr>
          <w:rFonts w:cstheme="minorHAnsi"/>
          <w:sz w:val="22"/>
          <w:szCs w:val="22"/>
        </w:rPr>
        <w:t>to</w:t>
      </w:r>
      <w:r w:rsidR="005E5B3D">
        <w:rPr>
          <w:rFonts w:cstheme="minorHAnsi"/>
          <w:sz w:val="22"/>
          <w:szCs w:val="22"/>
        </w:rPr>
        <w:t xml:space="preserve"> speak in support of it</w:t>
      </w:r>
      <w:r w:rsidR="001E7C20">
        <w:rPr>
          <w:rFonts w:cstheme="minorHAnsi"/>
          <w:sz w:val="22"/>
          <w:szCs w:val="22"/>
        </w:rPr>
        <w:t>,</w:t>
      </w:r>
      <w:r w:rsidR="00201B0E">
        <w:rPr>
          <w:rFonts w:cstheme="minorHAnsi"/>
          <w:sz w:val="22"/>
          <w:szCs w:val="22"/>
        </w:rPr>
        <w:t xml:space="preserve"> and </w:t>
      </w:r>
      <w:r w:rsidR="00124C4F">
        <w:rPr>
          <w:rFonts w:cstheme="minorHAnsi"/>
          <w:sz w:val="22"/>
          <w:szCs w:val="22"/>
        </w:rPr>
        <w:t xml:space="preserve">Sir </w:t>
      </w:r>
      <w:r w:rsidR="00201B0E">
        <w:rPr>
          <w:rFonts w:cstheme="minorHAnsi"/>
          <w:sz w:val="22"/>
          <w:szCs w:val="22"/>
        </w:rPr>
        <w:lastRenderedPageBreak/>
        <w:t>Robert Horne</w:t>
      </w:r>
      <w:r w:rsidR="006B42D5">
        <w:rPr>
          <w:rFonts w:cstheme="minorHAnsi"/>
          <w:sz w:val="22"/>
          <w:szCs w:val="22"/>
        </w:rPr>
        <w:t xml:space="preserve">’s </w:t>
      </w:r>
      <w:r w:rsidR="00F829DD">
        <w:rPr>
          <w:rFonts w:cstheme="minorHAnsi"/>
          <w:sz w:val="22"/>
          <w:szCs w:val="22"/>
        </w:rPr>
        <w:t>willingness</w:t>
      </w:r>
      <w:r w:rsidR="00201B0E">
        <w:rPr>
          <w:rFonts w:cstheme="minorHAnsi"/>
          <w:sz w:val="22"/>
          <w:szCs w:val="22"/>
        </w:rPr>
        <w:t xml:space="preserve"> to reflect and respond</w:t>
      </w:r>
      <w:r w:rsidR="00A7145C">
        <w:rPr>
          <w:rFonts w:cstheme="minorHAnsi"/>
          <w:sz w:val="22"/>
          <w:szCs w:val="22"/>
        </w:rPr>
        <w:t xml:space="preserve"> to the points raised,</w:t>
      </w:r>
      <w:r w:rsidR="00A7145C" w:rsidRPr="00A7145C">
        <w:rPr>
          <w:rFonts w:cstheme="minorHAnsi"/>
          <w:sz w:val="22"/>
          <w:szCs w:val="22"/>
        </w:rPr>
        <w:t xml:space="preserve"> </w:t>
      </w:r>
      <w:r w:rsidR="00A7145C">
        <w:rPr>
          <w:rFonts w:cstheme="minorHAnsi"/>
          <w:sz w:val="22"/>
          <w:szCs w:val="22"/>
        </w:rPr>
        <w:t xml:space="preserve">the outcome would likely have been very different. </w:t>
      </w:r>
      <w:r w:rsidR="00271448">
        <w:rPr>
          <w:rFonts w:cstheme="minorHAnsi"/>
          <w:sz w:val="22"/>
          <w:szCs w:val="22"/>
        </w:rPr>
        <w:t>Without</w:t>
      </w:r>
      <w:r w:rsidR="003C5057">
        <w:rPr>
          <w:rFonts w:cstheme="minorHAnsi"/>
          <w:sz w:val="22"/>
          <w:szCs w:val="22"/>
        </w:rPr>
        <w:t xml:space="preserve"> their involvement</w:t>
      </w:r>
      <w:r w:rsidR="00271448">
        <w:rPr>
          <w:rFonts w:cstheme="minorHAnsi"/>
          <w:sz w:val="22"/>
          <w:szCs w:val="22"/>
        </w:rPr>
        <w:t>, it is unlikely that any women would have been appointed ad hoc</w:t>
      </w:r>
      <w:r w:rsidR="00A7145C" w:rsidRPr="009E4258">
        <w:rPr>
          <w:rFonts w:cstheme="minorHAnsi"/>
          <w:sz w:val="22"/>
          <w:szCs w:val="22"/>
        </w:rPr>
        <w:t xml:space="preserve"> </w:t>
      </w:r>
      <w:r w:rsidR="00271448">
        <w:rPr>
          <w:rFonts w:cstheme="minorHAnsi"/>
          <w:sz w:val="22"/>
          <w:szCs w:val="22"/>
        </w:rPr>
        <w:t>assessors</w:t>
      </w:r>
      <w:r w:rsidR="00A7145C">
        <w:rPr>
          <w:rFonts w:cstheme="minorHAnsi"/>
          <w:sz w:val="22"/>
          <w:szCs w:val="22"/>
        </w:rPr>
        <w:t xml:space="preserve">, let alone </w:t>
      </w:r>
      <w:r w:rsidR="00271448">
        <w:rPr>
          <w:rFonts w:cstheme="minorHAnsi"/>
          <w:sz w:val="22"/>
          <w:szCs w:val="22"/>
        </w:rPr>
        <w:t xml:space="preserve">there being </w:t>
      </w:r>
      <w:r w:rsidR="00A7145C">
        <w:rPr>
          <w:rFonts w:cstheme="minorHAnsi"/>
          <w:sz w:val="22"/>
          <w:szCs w:val="22"/>
        </w:rPr>
        <w:t xml:space="preserve">a </w:t>
      </w:r>
      <w:r w:rsidR="00A7145C" w:rsidRPr="009E4258">
        <w:rPr>
          <w:rFonts w:cstheme="minorHAnsi"/>
          <w:sz w:val="22"/>
          <w:szCs w:val="22"/>
        </w:rPr>
        <w:t xml:space="preserve">statutory </w:t>
      </w:r>
      <w:r w:rsidR="00271448">
        <w:rPr>
          <w:rFonts w:cstheme="minorHAnsi"/>
          <w:sz w:val="22"/>
          <w:szCs w:val="22"/>
        </w:rPr>
        <w:t xml:space="preserve">requirement ensuring their </w:t>
      </w:r>
      <w:r w:rsidR="00A7145C">
        <w:rPr>
          <w:rFonts w:cstheme="minorHAnsi"/>
          <w:sz w:val="22"/>
          <w:szCs w:val="22"/>
        </w:rPr>
        <w:t xml:space="preserve">presence as equal members of </w:t>
      </w:r>
      <w:r>
        <w:rPr>
          <w:rFonts w:cstheme="minorHAnsi"/>
          <w:sz w:val="22"/>
          <w:szCs w:val="22"/>
        </w:rPr>
        <w:t>the Court</w:t>
      </w:r>
      <w:r w:rsidR="00A7145C">
        <w:rPr>
          <w:rFonts w:cstheme="minorHAnsi"/>
          <w:sz w:val="22"/>
          <w:szCs w:val="22"/>
        </w:rPr>
        <w:t xml:space="preserve">. </w:t>
      </w:r>
    </w:p>
    <w:p w14:paraId="41FE27D8" w14:textId="4E4B530C" w:rsidR="009868B0" w:rsidRDefault="009868B0" w:rsidP="00F770DA">
      <w:pPr>
        <w:spacing w:line="360" w:lineRule="auto"/>
        <w:rPr>
          <w:rFonts w:cstheme="minorHAnsi"/>
          <w:sz w:val="22"/>
          <w:szCs w:val="22"/>
        </w:rPr>
      </w:pPr>
    </w:p>
    <w:p w14:paraId="0212BA2C" w14:textId="5F62E28C" w:rsidR="005411FB" w:rsidRPr="005411FB" w:rsidRDefault="005411FB" w:rsidP="005411FB">
      <w:pPr>
        <w:spacing w:line="360" w:lineRule="auto"/>
        <w:jc w:val="center"/>
        <w:rPr>
          <w:rFonts w:cstheme="minorHAnsi"/>
          <w:i/>
          <w:iCs/>
          <w:sz w:val="22"/>
          <w:szCs w:val="22"/>
        </w:rPr>
      </w:pPr>
      <w:r w:rsidRPr="005411FB">
        <w:rPr>
          <w:rFonts w:cstheme="minorHAnsi"/>
          <w:i/>
          <w:iCs/>
          <w:sz w:val="22"/>
          <w:szCs w:val="22"/>
        </w:rPr>
        <w:t>b. The importance of networks and campaigns</w:t>
      </w:r>
    </w:p>
    <w:p w14:paraId="061562E5" w14:textId="77777777" w:rsidR="005411FB" w:rsidRDefault="005411FB" w:rsidP="00F770DA">
      <w:pPr>
        <w:spacing w:line="360" w:lineRule="auto"/>
        <w:rPr>
          <w:rFonts w:cstheme="minorHAnsi"/>
          <w:sz w:val="22"/>
          <w:szCs w:val="22"/>
        </w:rPr>
      </w:pPr>
    </w:p>
    <w:p w14:paraId="41925160" w14:textId="199CD828" w:rsidR="005E5B3D" w:rsidRDefault="00271448" w:rsidP="00E211DD">
      <w:pPr>
        <w:spacing w:line="360" w:lineRule="auto"/>
        <w:rPr>
          <w:rFonts w:cstheme="minorHAnsi"/>
          <w:sz w:val="22"/>
          <w:szCs w:val="22"/>
        </w:rPr>
      </w:pPr>
      <w:r>
        <w:rPr>
          <w:rFonts w:cstheme="minorHAnsi"/>
          <w:sz w:val="22"/>
          <w:szCs w:val="22"/>
        </w:rPr>
        <w:t>The second lesson relates to the</w:t>
      </w:r>
      <w:r w:rsidR="001C5DD4">
        <w:rPr>
          <w:rFonts w:cstheme="minorHAnsi"/>
          <w:sz w:val="22"/>
          <w:szCs w:val="22"/>
        </w:rPr>
        <w:t xml:space="preserve"> </w:t>
      </w:r>
      <w:r w:rsidR="009868B0">
        <w:rPr>
          <w:rFonts w:cstheme="minorHAnsi"/>
          <w:sz w:val="22"/>
          <w:szCs w:val="22"/>
        </w:rPr>
        <w:t>importance of</w:t>
      </w:r>
      <w:r w:rsidR="009F43FE">
        <w:rPr>
          <w:rFonts w:cstheme="minorHAnsi"/>
          <w:sz w:val="22"/>
          <w:szCs w:val="22"/>
        </w:rPr>
        <w:t xml:space="preserve"> </w:t>
      </w:r>
      <w:r w:rsidR="00A839F9">
        <w:rPr>
          <w:rFonts w:cstheme="minorHAnsi"/>
          <w:sz w:val="22"/>
          <w:szCs w:val="22"/>
        </w:rPr>
        <w:t xml:space="preserve">both </w:t>
      </w:r>
      <w:r w:rsidR="009F43FE">
        <w:rPr>
          <w:rFonts w:cstheme="minorHAnsi"/>
          <w:sz w:val="22"/>
          <w:szCs w:val="22"/>
        </w:rPr>
        <w:t xml:space="preserve">established </w:t>
      </w:r>
      <w:r w:rsidR="009868B0">
        <w:rPr>
          <w:rFonts w:cstheme="minorHAnsi"/>
          <w:sz w:val="22"/>
          <w:szCs w:val="22"/>
        </w:rPr>
        <w:t>campaigns and networks</w:t>
      </w:r>
      <w:r w:rsidR="00A839F9">
        <w:rPr>
          <w:rFonts w:cstheme="minorHAnsi"/>
          <w:sz w:val="22"/>
          <w:szCs w:val="22"/>
        </w:rPr>
        <w:t xml:space="preserve"> </w:t>
      </w:r>
      <w:proofErr w:type="gramStart"/>
      <w:r w:rsidR="00A839F9">
        <w:rPr>
          <w:rFonts w:cstheme="minorHAnsi"/>
          <w:sz w:val="22"/>
          <w:szCs w:val="22"/>
        </w:rPr>
        <w:t xml:space="preserve">and </w:t>
      </w:r>
      <w:r w:rsidR="00B47AF7">
        <w:rPr>
          <w:rFonts w:cstheme="minorHAnsi"/>
          <w:sz w:val="22"/>
          <w:szCs w:val="22"/>
        </w:rPr>
        <w:t>also</w:t>
      </w:r>
      <w:proofErr w:type="gramEnd"/>
      <w:r w:rsidR="00B47AF7">
        <w:rPr>
          <w:rFonts w:cstheme="minorHAnsi"/>
          <w:sz w:val="22"/>
          <w:szCs w:val="22"/>
        </w:rPr>
        <w:t xml:space="preserve"> </w:t>
      </w:r>
      <w:r w:rsidR="00A839F9">
        <w:rPr>
          <w:rFonts w:cstheme="minorHAnsi"/>
          <w:sz w:val="22"/>
          <w:szCs w:val="22"/>
        </w:rPr>
        <w:t>of having men ‘on your side’</w:t>
      </w:r>
      <w:r w:rsidR="009868B0">
        <w:rPr>
          <w:rFonts w:cstheme="minorHAnsi"/>
          <w:sz w:val="22"/>
          <w:szCs w:val="22"/>
        </w:rPr>
        <w:t xml:space="preserve">. </w:t>
      </w:r>
      <w:r w:rsidR="005E5B3D">
        <w:rPr>
          <w:rFonts w:cstheme="minorHAnsi"/>
          <w:sz w:val="22"/>
          <w:szCs w:val="22"/>
        </w:rPr>
        <w:t>Many of those who spoke in the debates prior to the enactment of the Act were</w:t>
      </w:r>
      <w:r w:rsidR="005E5B3D" w:rsidRPr="00132E6F">
        <w:rPr>
          <w:rFonts w:cstheme="minorHAnsi"/>
          <w:sz w:val="22"/>
          <w:szCs w:val="22"/>
        </w:rPr>
        <w:t xml:space="preserve"> </w:t>
      </w:r>
      <w:r w:rsidR="005E5B3D">
        <w:rPr>
          <w:rFonts w:cstheme="minorHAnsi"/>
          <w:sz w:val="22"/>
          <w:szCs w:val="22"/>
        </w:rPr>
        <w:t xml:space="preserve">lawyers and/or </w:t>
      </w:r>
      <w:r w:rsidR="005E5B3D" w:rsidRPr="00132E6F">
        <w:rPr>
          <w:rFonts w:cstheme="minorHAnsi"/>
          <w:sz w:val="22"/>
          <w:szCs w:val="22"/>
        </w:rPr>
        <w:t>involved</w:t>
      </w:r>
      <w:r w:rsidR="00266FC9">
        <w:rPr>
          <w:rFonts w:cstheme="minorHAnsi"/>
          <w:sz w:val="22"/>
          <w:szCs w:val="22"/>
        </w:rPr>
        <w:t xml:space="preserve"> in</w:t>
      </w:r>
      <w:r w:rsidR="005E5B3D" w:rsidRPr="00132E6F">
        <w:rPr>
          <w:rFonts w:cstheme="minorHAnsi"/>
          <w:sz w:val="22"/>
          <w:szCs w:val="22"/>
        </w:rPr>
        <w:t xml:space="preserve"> national and international campaigns for women’s representation</w:t>
      </w:r>
      <w:r w:rsidR="005E5B3D">
        <w:rPr>
          <w:rFonts w:cstheme="minorHAnsi"/>
          <w:sz w:val="22"/>
          <w:szCs w:val="22"/>
        </w:rPr>
        <w:t xml:space="preserve"> in the legal profession and beyond</w:t>
      </w:r>
      <w:r w:rsidR="00A839F9">
        <w:rPr>
          <w:rFonts w:cstheme="minorHAnsi"/>
          <w:sz w:val="22"/>
          <w:szCs w:val="22"/>
        </w:rPr>
        <w:t>.</w:t>
      </w:r>
      <w:r w:rsidR="005E5B3D">
        <w:rPr>
          <w:rFonts w:cstheme="minorHAnsi"/>
          <w:sz w:val="22"/>
          <w:szCs w:val="22"/>
        </w:rPr>
        <w:t xml:space="preserve"> </w:t>
      </w:r>
      <w:r w:rsidR="005E5B3D" w:rsidRPr="00132E6F">
        <w:rPr>
          <w:rFonts w:cstheme="minorHAnsi"/>
          <w:sz w:val="22"/>
          <w:szCs w:val="22"/>
        </w:rPr>
        <w:t>Shaw</w:t>
      </w:r>
      <w:r w:rsidR="005E5B3D">
        <w:rPr>
          <w:rFonts w:cstheme="minorHAnsi"/>
          <w:sz w:val="22"/>
          <w:szCs w:val="22"/>
        </w:rPr>
        <w:t xml:space="preserve">, for example, </w:t>
      </w:r>
      <w:r w:rsidR="005E5B3D" w:rsidRPr="00132E6F">
        <w:rPr>
          <w:rFonts w:cstheme="minorHAnsi"/>
          <w:sz w:val="22"/>
          <w:szCs w:val="22"/>
        </w:rPr>
        <w:t>was</w:t>
      </w:r>
      <w:r w:rsidR="005E5B3D">
        <w:rPr>
          <w:rFonts w:cstheme="minorHAnsi"/>
          <w:sz w:val="22"/>
          <w:szCs w:val="22"/>
        </w:rPr>
        <w:t xml:space="preserve"> a lawyer and</w:t>
      </w:r>
      <w:r w:rsidR="005E5B3D" w:rsidRPr="00132E6F">
        <w:rPr>
          <w:rFonts w:cstheme="minorHAnsi"/>
          <w:sz w:val="22"/>
          <w:szCs w:val="22"/>
        </w:rPr>
        <w:t xml:space="preserve"> </w:t>
      </w:r>
      <w:r w:rsidR="005E5B3D">
        <w:rPr>
          <w:rFonts w:cstheme="minorHAnsi"/>
          <w:sz w:val="22"/>
          <w:szCs w:val="22"/>
        </w:rPr>
        <w:t xml:space="preserve">the </w:t>
      </w:r>
      <w:r w:rsidR="005E5B3D" w:rsidRPr="00132E6F">
        <w:rPr>
          <w:rFonts w:cstheme="minorHAnsi"/>
          <w:sz w:val="22"/>
          <w:szCs w:val="22"/>
        </w:rPr>
        <w:t xml:space="preserve">son of </w:t>
      </w:r>
      <w:r w:rsidR="005E5B3D">
        <w:rPr>
          <w:rFonts w:cstheme="minorHAnsi"/>
          <w:sz w:val="22"/>
          <w:szCs w:val="22"/>
        </w:rPr>
        <w:t>Lord</w:t>
      </w:r>
      <w:r w:rsidR="005E5B3D" w:rsidRPr="00132E6F">
        <w:rPr>
          <w:rFonts w:cstheme="minorHAnsi"/>
          <w:sz w:val="22"/>
          <w:szCs w:val="22"/>
        </w:rPr>
        <w:t xml:space="preserve"> </w:t>
      </w:r>
      <w:r w:rsidR="005E5B3D">
        <w:rPr>
          <w:rFonts w:cstheme="minorHAnsi"/>
          <w:sz w:val="22"/>
          <w:szCs w:val="22"/>
        </w:rPr>
        <w:t xml:space="preserve">(Thomas) </w:t>
      </w:r>
      <w:r w:rsidR="005E5B3D" w:rsidRPr="00132E6F">
        <w:rPr>
          <w:rFonts w:cstheme="minorHAnsi"/>
          <w:sz w:val="22"/>
          <w:szCs w:val="22"/>
        </w:rPr>
        <w:t>Shaw</w:t>
      </w:r>
      <w:r w:rsidR="005E5B3D">
        <w:rPr>
          <w:rFonts w:cstheme="minorHAnsi"/>
          <w:sz w:val="22"/>
          <w:szCs w:val="22"/>
        </w:rPr>
        <w:t xml:space="preserve">, a Lord Appeal in Ordinary. Shaw senior, </w:t>
      </w:r>
      <w:r w:rsidR="005E5B3D" w:rsidRPr="00132E6F">
        <w:rPr>
          <w:rFonts w:cstheme="minorHAnsi"/>
          <w:sz w:val="22"/>
          <w:szCs w:val="22"/>
        </w:rPr>
        <w:t>at the time</w:t>
      </w:r>
      <w:r w:rsidR="005E5B3D">
        <w:rPr>
          <w:rFonts w:cstheme="minorHAnsi"/>
          <w:sz w:val="22"/>
          <w:szCs w:val="22"/>
        </w:rPr>
        <w:t xml:space="preserve"> the Industrial Courts Act was being debated,</w:t>
      </w:r>
      <w:r w:rsidR="005E5B3D" w:rsidRPr="00132E6F">
        <w:rPr>
          <w:rFonts w:cstheme="minorHAnsi"/>
          <w:sz w:val="22"/>
          <w:szCs w:val="22"/>
        </w:rPr>
        <w:t xml:space="preserve"> was rendering valuable</w:t>
      </w:r>
      <w:r w:rsidR="005E5B3D">
        <w:rPr>
          <w:rFonts w:cstheme="minorHAnsi"/>
          <w:sz w:val="22"/>
          <w:szCs w:val="22"/>
        </w:rPr>
        <w:t xml:space="preserve"> </w:t>
      </w:r>
      <w:r w:rsidR="005E5B3D" w:rsidRPr="00132E6F">
        <w:rPr>
          <w:rFonts w:cstheme="minorHAnsi"/>
          <w:sz w:val="22"/>
          <w:szCs w:val="22"/>
        </w:rPr>
        <w:t xml:space="preserve">assistance in the formation of the League of Nations, Article 7 </w:t>
      </w:r>
      <w:r w:rsidR="005E5B3D">
        <w:rPr>
          <w:rFonts w:cstheme="minorHAnsi"/>
          <w:sz w:val="22"/>
          <w:szCs w:val="22"/>
        </w:rPr>
        <w:t xml:space="preserve">of </w:t>
      </w:r>
      <w:r w:rsidR="005E5B3D" w:rsidRPr="00132E6F">
        <w:rPr>
          <w:rFonts w:cstheme="minorHAnsi"/>
          <w:sz w:val="22"/>
          <w:szCs w:val="22"/>
        </w:rPr>
        <w:t xml:space="preserve">which stated its Secretariat – </w:t>
      </w:r>
      <w:r w:rsidR="005E5B3D">
        <w:rPr>
          <w:rFonts w:cstheme="minorHAnsi"/>
          <w:sz w:val="22"/>
          <w:szCs w:val="22"/>
        </w:rPr>
        <w:t>in effect</w:t>
      </w:r>
      <w:r w:rsidR="005E5B3D" w:rsidRPr="00132E6F">
        <w:rPr>
          <w:rFonts w:cstheme="minorHAnsi"/>
          <w:sz w:val="22"/>
          <w:szCs w:val="22"/>
        </w:rPr>
        <w:t xml:space="preserve"> </w:t>
      </w:r>
      <w:r w:rsidR="001C382F">
        <w:rPr>
          <w:rFonts w:cstheme="minorHAnsi"/>
          <w:sz w:val="22"/>
          <w:szCs w:val="22"/>
        </w:rPr>
        <w:t xml:space="preserve">an </w:t>
      </w:r>
      <w:r w:rsidR="005E5B3D" w:rsidRPr="00132E6F">
        <w:rPr>
          <w:rFonts w:cstheme="minorHAnsi"/>
          <w:sz w:val="22"/>
          <w:szCs w:val="22"/>
        </w:rPr>
        <w:t>international civil service – would be open to both women and men.</w:t>
      </w:r>
      <w:r w:rsidR="005E5B3D">
        <w:rPr>
          <w:rStyle w:val="FootnoteReference"/>
          <w:rFonts w:cstheme="minorHAnsi"/>
          <w:sz w:val="22"/>
          <w:szCs w:val="22"/>
        </w:rPr>
        <w:footnoteReference w:id="98"/>
      </w:r>
      <w:r w:rsidR="005E5B3D" w:rsidRPr="00132E6F">
        <w:rPr>
          <w:rFonts w:cstheme="minorHAnsi"/>
          <w:sz w:val="22"/>
          <w:szCs w:val="22"/>
        </w:rPr>
        <w:t xml:space="preserve"> </w:t>
      </w:r>
      <w:r w:rsidR="005E5B3D">
        <w:rPr>
          <w:rFonts w:cstheme="minorHAnsi"/>
          <w:sz w:val="22"/>
          <w:szCs w:val="22"/>
        </w:rPr>
        <w:t>Similarly Jack</w:t>
      </w:r>
      <w:r w:rsidR="005E5B3D" w:rsidRPr="00132E6F">
        <w:rPr>
          <w:rFonts w:cstheme="minorHAnsi"/>
          <w:sz w:val="22"/>
          <w:szCs w:val="22"/>
        </w:rPr>
        <w:t xml:space="preserve"> Hills,</w:t>
      </w:r>
      <w:r w:rsidR="005E5B3D">
        <w:rPr>
          <w:rFonts w:cstheme="minorHAnsi"/>
          <w:sz w:val="22"/>
          <w:szCs w:val="22"/>
        </w:rPr>
        <w:t xml:space="preserve"> </w:t>
      </w:r>
      <w:r w:rsidR="005E5B3D" w:rsidRPr="00132E6F">
        <w:rPr>
          <w:rFonts w:cstheme="minorHAnsi"/>
          <w:sz w:val="22"/>
          <w:szCs w:val="22"/>
        </w:rPr>
        <w:t>a former solicitor</w:t>
      </w:r>
      <w:r w:rsidR="003165B8">
        <w:rPr>
          <w:rFonts w:cstheme="minorHAnsi"/>
          <w:sz w:val="22"/>
          <w:szCs w:val="22"/>
        </w:rPr>
        <w:t>,</w:t>
      </w:r>
      <w:r w:rsidR="005E5B3D">
        <w:rPr>
          <w:rFonts w:cstheme="minorHAnsi"/>
          <w:sz w:val="22"/>
          <w:szCs w:val="22"/>
        </w:rPr>
        <w:t xml:space="preserve"> by the time of the Industrial Courts </w:t>
      </w:r>
      <w:r w:rsidR="0090564B">
        <w:rPr>
          <w:rFonts w:cstheme="minorHAnsi"/>
          <w:sz w:val="22"/>
          <w:szCs w:val="22"/>
        </w:rPr>
        <w:t>B</w:t>
      </w:r>
      <w:r w:rsidR="005E5B3D">
        <w:rPr>
          <w:rFonts w:cstheme="minorHAnsi"/>
          <w:sz w:val="22"/>
          <w:szCs w:val="22"/>
        </w:rPr>
        <w:t>ill</w:t>
      </w:r>
      <w:r w:rsidR="003165B8">
        <w:rPr>
          <w:rFonts w:cstheme="minorHAnsi"/>
          <w:sz w:val="22"/>
          <w:szCs w:val="22"/>
        </w:rPr>
        <w:t xml:space="preserve"> was</w:t>
      </w:r>
      <w:r w:rsidR="005E5B3D">
        <w:rPr>
          <w:rFonts w:cstheme="minorHAnsi"/>
          <w:sz w:val="22"/>
          <w:szCs w:val="22"/>
        </w:rPr>
        <w:t xml:space="preserve"> well-known as ‘</w:t>
      </w:r>
      <w:r w:rsidR="005E5B3D" w:rsidRPr="00132E6F">
        <w:rPr>
          <w:rFonts w:cstheme="minorHAnsi"/>
          <w:sz w:val="22"/>
          <w:szCs w:val="22"/>
        </w:rPr>
        <w:t>a champion of the woman’s cause</w:t>
      </w:r>
      <w:r w:rsidR="005E5B3D">
        <w:rPr>
          <w:rFonts w:cstheme="minorHAnsi"/>
          <w:sz w:val="22"/>
          <w:szCs w:val="22"/>
        </w:rPr>
        <w:t>’.</w:t>
      </w:r>
      <w:r w:rsidR="005E5B3D">
        <w:rPr>
          <w:rStyle w:val="FootnoteReference"/>
          <w:rFonts w:cstheme="minorHAnsi"/>
          <w:sz w:val="22"/>
          <w:szCs w:val="22"/>
        </w:rPr>
        <w:footnoteReference w:id="99"/>
      </w:r>
      <w:r w:rsidR="005E5B3D">
        <w:rPr>
          <w:rFonts w:cstheme="minorHAnsi"/>
          <w:sz w:val="22"/>
          <w:szCs w:val="22"/>
        </w:rPr>
        <w:t xml:space="preserve"> </w:t>
      </w:r>
      <w:r w:rsidR="003165B8">
        <w:rPr>
          <w:rFonts w:cstheme="minorHAnsi"/>
          <w:sz w:val="22"/>
          <w:szCs w:val="22"/>
        </w:rPr>
        <w:t>At the time the bill was being debated he</w:t>
      </w:r>
      <w:r w:rsidR="005E5B3D">
        <w:rPr>
          <w:rFonts w:cstheme="minorHAnsi"/>
          <w:sz w:val="22"/>
          <w:szCs w:val="22"/>
        </w:rPr>
        <w:t xml:space="preserve"> was playing a</w:t>
      </w:r>
      <w:r w:rsidR="005E5B3D" w:rsidRPr="00132E6F">
        <w:rPr>
          <w:rFonts w:cstheme="minorHAnsi"/>
          <w:sz w:val="22"/>
          <w:szCs w:val="22"/>
        </w:rPr>
        <w:t xml:space="preserve"> pivotal role</w:t>
      </w:r>
      <w:r w:rsidR="005E5B3D">
        <w:rPr>
          <w:rFonts w:cstheme="minorHAnsi"/>
          <w:sz w:val="22"/>
          <w:szCs w:val="22"/>
        </w:rPr>
        <w:t xml:space="preserve"> </w:t>
      </w:r>
      <w:r w:rsidR="005E5B3D" w:rsidRPr="00132E6F">
        <w:rPr>
          <w:rFonts w:cstheme="minorHAnsi"/>
          <w:sz w:val="22"/>
          <w:szCs w:val="22"/>
        </w:rPr>
        <w:t>in campaigns for women to enter the legal professions</w:t>
      </w:r>
      <w:r w:rsidR="005E5B3D">
        <w:rPr>
          <w:rFonts w:cstheme="minorHAnsi"/>
          <w:sz w:val="22"/>
          <w:szCs w:val="22"/>
        </w:rPr>
        <w:t xml:space="preserve"> </w:t>
      </w:r>
      <w:r w:rsidR="003165B8">
        <w:rPr>
          <w:rFonts w:cstheme="minorHAnsi"/>
          <w:sz w:val="22"/>
          <w:szCs w:val="22"/>
        </w:rPr>
        <w:t xml:space="preserve">, having </w:t>
      </w:r>
      <w:r w:rsidR="005E5B3D" w:rsidRPr="00132E6F">
        <w:rPr>
          <w:rFonts w:cstheme="minorHAnsi"/>
          <w:sz w:val="22"/>
          <w:szCs w:val="22"/>
        </w:rPr>
        <w:t>support</w:t>
      </w:r>
      <w:r w:rsidR="005E5B3D">
        <w:rPr>
          <w:rFonts w:cstheme="minorHAnsi"/>
          <w:sz w:val="22"/>
          <w:szCs w:val="22"/>
        </w:rPr>
        <w:t xml:space="preserve">ed </w:t>
      </w:r>
      <w:r w:rsidR="005E5B3D" w:rsidRPr="00132E6F">
        <w:rPr>
          <w:rFonts w:cstheme="minorHAnsi"/>
          <w:sz w:val="22"/>
          <w:szCs w:val="22"/>
        </w:rPr>
        <w:t>and/or introduc</w:t>
      </w:r>
      <w:r w:rsidR="005E5B3D">
        <w:rPr>
          <w:rFonts w:cstheme="minorHAnsi"/>
          <w:sz w:val="22"/>
          <w:szCs w:val="22"/>
        </w:rPr>
        <w:t>ed</w:t>
      </w:r>
      <w:r w:rsidR="005E5B3D" w:rsidRPr="00132E6F">
        <w:rPr>
          <w:rFonts w:cstheme="minorHAnsi"/>
          <w:sz w:val="22"/>
          <w:szCs w:val="22"/>
        </w:rPr>
        <w:t xml:space="preserve"> legislation to this effect on </w:t>
      </w:r>
      <w:r w:rsidR="005E5B3D">
        <w:rPr>
          <w:rFonts w:cstheme="minorHAnsi"/>
          <w:sz w:val="22"/>
          <w:szCs w:val="22"/>
        </w:rPr>
        <w:t>a number of occasions</w:t>
      </w:r>
      <w:r w:rsidR="003165B8">
        <w:rPr>
          <w:rFonts w:cstheme="minorHAnsi"/>
          <w:sz w:val="22"/>
          <w:szCs w:val="22"/>
        </w:rPr>
        <w:t xml:space="preserve"> since 1912</w:t>
      </w:r>
      <w:r w:rsidR="005E5B3D">
        <w:rPr>
          <w:rFonts w:cstheme="minorHAnsi"/>
          <w:sz w:val="22"/>
          <w:szCs w:val="22"/>
        </w:rPr>
        <w:t>.</w:t>
      </w:r>
      <w:r w:rsidR="005E5B3D">
        <w:rPr>
          <w:rStyle w:val="FootnoteReference"/>
          <w:rFonts w:cstheme="minorHAnsi"/>
          <w:sz w:val="22"/>
          <w:szCs w:val="22"/>
        </w:rPr>
        <w:footnoteReference w:id="100"/>
      </w:r>
      <w:r w:rsidR="005E5B3D">
        <w:rPr>
          <w:rFonts w:cstheme="minorHAnsi"/>
          <w:sz w:val="22"/>
          <w:szCs w:val="22"/>
        </w:rPr>
        <w:t xml:space="preserve"> Sir Robert Horne</w:t>
      </w:r>
      <w:r w:rsidR="0090564B">
        <w:rPr>
          <w:rFonts w:cstheme="minorHAnsi"/>
          <w:sz w:val="22"/>
          <w:szCs w:val="22"/>
        </w:rPr>
        <w:t xml:space="preserve">, </w:t>
      </w:r>
      <w:r w:rsidR="005E5B3D">
        <w:rPr>
          <w:rFonts w:cstheme="minorHAnsi"/>
          <w:sz w:val="22"/>
          <w:szCs w:val="22"/>
        </w:rPr>
        <w:t xml:space="preserve">a </w:t>
      </w:r>
      <w:r w:rsidR="0090564B">
        <w:rPr>
          <w:rFonts w:cstheme="minorHAnsi"/>
          <w:sz w:val="22"/>
          <w:szCs w:val="22"/>
        </w:rPr>
        <w:t xml:space="preserve">‘son of the manse’ and a </w:t>
      </w:r>
      <w:r w:rsidR="005E5B3D">
        <w:rPr>
          <w:rFonts w:cstheme="minorHAnsi"/>
          <w:sz w:val="22"/>
          <w:szCs w:val="22"/>
        </w:rPr>
        <w:t xml:space="preserve">barrister and </w:t>
      </w:r>
      <w:r w:rsidR="0090564B">
        <w:rPr>
          <w:rFonts w:cstheme="minorHAnsi"/>
          <w:sz w:val="22"/>
          <w:szCs w:val="22"/>
        </w:rPr>
        <w:t>KC,</w:t>
      </w:r>
      <w:r w:rsidR="005E5B3D">
        <w:rPr>
          <w:rFonts w:cstheme="minorHAnsi"/>
          <w:sz w:val="22"/>
          <w:szCs w:val="22"/>
        </w:rPr>
        <w:t xml:space="preserve"> </w:t>
      </w:r>
      <w:r w:rsidR="0090564B">
        <w:rPr>
          <w:rFonts w:cstheme="minorHAnsi"/>
          <w:sz w:val="22"/>
          <w:szCs w:val="22"/>
        </w:rPr>
        <w:t>had less formal</w:t>
      </w:r>
      <w:r w:rsidR="005E5B3D">
        <w:rPr>
          <w:rFonts w:cstheme="minorHAnsi"/>
          <w:sz w:val="22"/>
          <w:szCs w:val="22"/>
        </w:rPr>
        <w:t xml:space="preserve"> links to women and women’s organisations</w:t>
      </w:r>
      <w:r w:rsidR="0090564B">
        <w:rPr>
          <w:rFonts w:cstheme="minorHAnsi"/>
          <w:sz w:val="22"/>
          <w:szCs w:val="22"/>
        </w:rPr>
        <w:t>.</w:t>
      </w:r>
      <w:r w:rsidR="0090564B">
        <w:rPr>
          <w:rStyle w:val="FootnoteReference"/>
          <w:rFonts w:cstheme="minorHAnsi"/>
          <w:sz w:val="22"/>
          <w:szCs w:val="22"/>
        </w:rPr>
        <w:footnoteReference w:id="101"/>
      </w:r>
      <w:r w:rsidR="005E5B3D">
        <w:rPr>
          <w:rFonts w:cstheme="minorHAnsi"/>
          <w:sz w:val="22"/>
          <w:szCs w:val="22"/>
        </w:rPr>
        <w:t xml:space="preserve"> His </w:t>
      </w:r>
      <w:r w:rsidR="00B47AF7">
        <w:rPr>
          <w:rFonts w:cstheme="minorHAnsi"/>
          <w:i/>
          <w:iCs/>
          <w:sz w:val="22"/>
          <w:szCs w:val="22"/>
        </w:rPr>
        <w:t>Oxford Dictionary of National Biography</w:t>
      </w:r>
      <w:r w:rsidR="005E5B3D">
        <w:rPr>
          <w:rFonts w:cstheme="minorHAnsi"/>
          <w:sz w:val="22"/>
          <w:szCs w:val="22"/>
        </w:rPr>
        <w:t xml:space="preserve"> entry describes him ‘urbane and affable’ and as a ‘</w:t>
      </w:r>
      <w:r w:rsidR="005E5B3D" w:rsidRPr="00A34DFA">
        <w:rPr>
          <w:rFonts w:cstheme="minorHAnsi"/>
          <w:sz w:val="22"/>
          <w:szCs w:val="22"/>
        </w:rPr>
        <w:t>favourite with political hostesses</w:t>
      </w:r>
      <w:r w:rsidR="005E5B3D">
        <w:rPr>
          <w:rFonts w:cstheme="minorHAnsi"/>
          <w:sz w:val="22"/>
          <w:szCs w:val="22"/>
        </w:rPr>
        <w:t>’, suggesting he was the inspiration for the 1923 rhyme ‘</w:t>
      </w:r>
      <w:r w:rsidR="005E5B3D" w:rsidRPr="00A34DFA">
        <w:rPr>
          <w:rFonts w:cstheme="minorHAnsi"/>
          <w:sz w:val="22"/>
          <w:szCs w:val="22"/>
        </w:rPr>
        <w:t>beaming Bert</w:t>
      </w:r>
      <w:r w:rsidR="005E5B3D">
        <w:rPr>
          <w:rFonts w:cstheme="minorHAnsi"/>
          <w:sz w:val="22"/>
          <w:szCs w:val="22"/>
        </w:rPr>
        <w:t xml:space="preserve">/ </w:t>
      </w:r>
      <w:r w:rsidR="005E5B3D" w:rsidRPr="00A34DFA">
        <w:rPr>
          <w:rFonts w:cstheme="minorHAnsi"/>
          <w:sz w:val="22"/>
          <w:szCs w:val="22"/>
        </w:rPr>
        <w:t>That incorrigible flirt</w:t>
      </w:r>
      <w:r w:rsidR="005E5B3D">
        <w:rPr>
          <w:rFonts w:cstheme="minorHAnsi"/>
          <w:sz w:val="22"/>
          <w:szCs w:val="22"/>
        </w:rPr>
        <w:t xml:space="preserve">/ </w:t>
      </w:r>
      <w:r w:rsidR="005E5B3D" w:rsidRPr="00A34DFA">
        <w:rPr>
          <w:rFonts w:cstheme="minorHAnsi"/>
          <w:sz w:val="22"/>
          <w:szCs w:val="22"/>
        </w:rPr>
        <w:t>Who loved to dance at all the Balls</w:t>
      </w:r>
      <w:r w:rsidR="005E5B3D">
        <w:rPr>
          <w:rFonts w:cstheme="minorHAnsi"/>
          <w:sz w:val="22"/>
          <w:szCs w:val="22"/>
        </w:rPr>
        <w:t xml:space="preserve">/ </w:t>
      </w:r>
      <w:r w:rsidR="005E5B3D" w:rsidRPr="00A34DFA">
        <w:rPr>
          <w:rFonts w:cstheme="minorHAnsi"/>
          <w:sz w:val="22"/>
          <w:szCs w:val="22"/>
        </w:rPr>
        <w:t>In London's noble marble Halls</w:t>
      </w:r>
      <w:r w:rsidR="005E5B3D">
        <w:rPr>
          <w:rFonts w:cstheme="minorHAnsi"/>
          <w:sz w:val="22"/>
          <w:szCs w:val="22"/>
        </w:rPr>
        <w:t>’.</w:t>
      </w:r>
      <w:r w:rsidR="005E5B3D">
        <w:rPr>
          <w:rStyle w:val="FootnoteReference"/>
          <w:rFonts w:cstheme="minorHAnsi"/>
          <w:sz w:val="22"/>
          <w:szCs w:val="22"/>
        </w:rPr>
        <w:footnoteReference w:id="102"/>
      </w:r>
      <w:r w:rsidR="005E5B3D">
        <w:rPr>
          <w:rFonts w:cstheme="minorHAnsi"/>
          <w:sz w:val="22"/>
          <w:szCs w:val="22"/>
        </w:rPr>
        <w:t xml:space="preserve"> </w:t>
      </w:r>
      <w:r w:rsidR="0090564B">
        <w:rPr>
          <w:rFonts w:cstheme="minorHAnsi"/>
          <w:sz w:val="22"/>
          <w:szCs w:val="22"/>
        </w:rPr>
        <w:t>That said, his</w:t>
      </w:r>
      <w:r w:rsidR="005E5B3D">
        <w:rPr>
          <w:rFonts w:cstheme="minorHAnsi"/>
          <w:sz w:val="22"/>
          <w:szCs w:val="22"/>
        </w:rPr>
        <w:t xml:space="preserve"> involvement with women in a quasi-judicial capacity did not end with the Industrial Court. He went on to oversee the passing of the Underemployment Insurance Act 1920, the administration of which</w:t>
      </w:r>
      <w:r w:rsidR="004B3A3E">
        <w:rPr>
          <w:rFonts w:cstheme="minorHAnsi"/>
          <w:sz w:val="22"/>
          <w:szCs w:val="22"/>
        </w:rPr>
        <w:t xml:space="preserve"> in the Court of Referees</w:t>
      </w:r>
      <w:r w:rsidR="005E5B3D">
        <w:rPr>
          <w:rFonts w:cstheme="minorHAnsi"/>
          <w:sz w:val="22"/>
          <w:szCs w:val="22"/>
        </w:rPr>
        <w:t xml:space="preserve"> provided </w:t>
      </w:r>
      <w:r w:rsidR="0012310A">
        <w:rPr>
          <w:rFonts w:cstheme="minorHAnsi"/>
          <w:sz w:val="22"/>
          <w:szCs w:val="22"/>
        </w:rPr>
        <w:t xml:space="preserve">vital </w:t>
      </w:r>
      <w:r w:rsidR="005E5B3D">
        <w:rPr>
          <w:rFonts w:cstheme="minorHAnsi"/>
          <w:sz w:val="22"/>
          <w:szCs w:val="22"/>
        </w:rPr>
        <w:t>addition</w:t>
      </w:r>
      <w:r w:rsidR="0012310A">
        <w:rPr>
          <w:rFonts w:cstheme="minorHAnsi"/>
          <w:sz w:val="22"/>
          <w:szCs w:val="22"/>
        </w:rPr>
        <w:t>al</w:t>
      </w:r>
      <w:r w:rsidR="005E5B3D">
        <w:rPr>
          <w:rFonts w:cstheme="minorHAnsi"/>
          <w:sz w:val="22"/>
          <w:szCs w:val="22"/>
        </w:rPr>
        <w:t xml:space="preserve"> income for </w:t>
      </w:r>
      <w:proofErr w:type="gramStart"/>
      <w:r w:rsidR="005E5B3D">
        <w:rPr>
          <w:rFonts w:cstheme="minorHAnsi"/>
          <w:sz w:val="22"/>
          <w:szCs w:val="22"/>
        </w:rPr>
        <w:t>a number of</w:t>
      </w:r>
      <w:proofErr w:type="gramEnd"/>
      <w:r w:rsidR="005E5B3D">
        <w:rPr>
          <w:rFonts w:cstheme="minorHAnsi"/>
          <w:sz w:val="22"/>
          <w:szCs w:val="22"/>
        </w:rPr>
        <w:t xml:space="preserve"> early women barristers including Helena Normanton and Monica Geikie Cobb.</w:t>
      </w:r>
      <w:r w:rsidR="005E5B3D">
        <w:rPr>
          <w:rStyle w:val="FootnoteReference"/>
          <w:rFonts w:cstheme="minorHAnsi"/>
          <w:sz w:val="22"/>
          <w:szCs w:val="22"/>
        </w:rPr>
        <w:footnoteReference w:id="103"/>
      </w:r>
    </w:p>
    <w:p w14:paraId="703BFC4C" w14:textId="77777777" w:rsidR="005E5B3D" w:rsidRDefault="005E5B3D" w:rsidP="00E211DD">
      <w:pPr>
        <w:spacing w:line="360" w:lineRule="auto"/>
        <w:rPr>
          <w:rFonts w:cstheme="minorHAnsi"/>
          <w:sz w:val="22"/>
          <w:szCs w:val="22"/>
        </w:rPr>
      </w:pPr>
    </w:p>
    <w:p w14:paraId="4717A731" w14:textId="14D7C272" w:rsidR="00347478" w:rsidRDefault="0090564B" w:rsidP="00E211DD">
      <w:pPr>
        <w:spacing w:line="360" w:lineRule="auto"/>
        <w:rPr>
          <w:rFonts w:cstheme="minorHAnsi"/>
          <w:sz w:val="22"/>
          <w:szCs w:val="22"/>
        </w:rPr>
      </w:pPr>
      <w:r>
        <w:rPr>
          <w:rFonts w:cstheme="minorHAnsi"/>
          <w:sz w:val="22"/>
          <w:szCs w:val="22"/>
        </w:rPr>
        <w:lastRenderedPageBreak/>
        <w:t>These networks</w:t>
      </w:r>
      <w:r w:rsidR="00A839F9">
        <w:rPr>
          <w:rFonts w:cstheme="minorHAnsi"/>
          <w:sz w:val="22"/>
          <w:szCs w:val="22"/>
        </w:rPr>
        <w:t xml:space="preserve"> – involving both men and women – </w:t>
      </w:r>
      <w:r>
        <w:rPr>
          <w:rFonts w:cstheme="minorHAnsi"/>
          <w:sz w:val="22"/>
          <w:szCs w:val="22"/>
        </w:rPr>
        <w:t xml:space="preserve">were vital to the genesis, motivation, formulation and passing of Shaw’s amendment. </w:t>
      </w:r>
      <w:r w:rsidR="00201B0E">
        <w:rPr>
          <w:rFonts w:cstheme="minorHAnsi"/>
          <w:sz w:val="22"/>
          <w:szCs w:val="22"/>
        </w:rPr>
        <w:t xml:space="preserve">The Industrial Court Bill was </w:t>
      </w:r>
      <w:r w:rsidR="00DD33CE">
        <w:rPr>
          <w:rFonts w:cstheme="minorHAnsi"/>
          <w:sz w:val="22"/>
          <w:szCs w:val="22"/>
        </w:rPr>
        <w:t xml:space="preserve">introduced, </w:t>
      </w:r>
      <w:proofErr w:type="gramStart"/>
      <w:r w:rsidR="00201B0E">
        <w:rPr>
          <w:rFonts w:cstheme="minorHAnsi"/>
          <w:sz w:val="22"/>
          <w:szCs w:val="22"/>
        </w:rPr>
        <w:t>debated</w:t>
      </w:r>
      <w:proofErr w:type="gramEnd"/>
      <w:r w:rsidR="00201B0E">
        <w:rPr>
          <w:rFonts w:cstheme="minorHAnsi"/>
          <w:sz w:val="22"/>
          <w:szCs w:val="22"/>
        </w:rPr>
        <w:t xml:space="preserve"> and passed in a </w:t>
      </w:r>
      <w:r w:rsidR="00DD33CE">
        <w:rPr>
          <w:rFonts w:cstheme="minorHAnsi"/>
          <w:sz w:val="22"/>
          <w:szCs w:val="22"/>
        </w:rPr>
        <w:t>little over</w:t>
      </w:r>
      <w:r w:rsidR="00201B0E">
        <w:rPr>
          <w:rFonts w:cstheme="minorHAnsi"/>
          <w:sz w:val="22"/>
          <w:szCs w:val="22"/>
        </w:rPr>
        <w:t xml:space="preserve"> </w:t>
      </w:r>
      <w:r w:rsidR="00B47AF7">
        <w:rPr>
          <w:rFonts w:cstheme="minorHAnsi"/>
          <w:sz w:val="22"/>
          <w:szCs w:val="22"/>
        </w:rPr>
        <w:t>two</w:t>
      </w:r>
      <w:r w:rsidR="00201B0E">
        <w:rPr>
          <w:rFonts w:cstheme="minorHAnsi"/>
          <w:sz w:val="22"/>
          <w:szCs w:val="22"/>
        </w:rPr>
        <w:t xml:space="preserve"> weeks. There was little time for lobbying on the specifics of the </w:t>
      </w:r>
      <w:r w:rsidR="00881897">
        <w:rPr>
          <w:rFonts w:cstheme="minorHAnsi"/>
          <w:sz w:val="22"/>
          <w:szCs w:val="22"/>
        </w:rPr>
        <w:t>b</w:t>
      </w:r>
      <w:r w:rsidR="00201B0E">
        <w:rPr>
          <w:rFonts w:cstheme="minorHAnsi"/>
          <w:sz w:val="22"/>
          <w:szCs w:val="22"/>
        </w:rPr>
        <w:t>ill.</w:t>
      </w:r>
      <w:r w:rsidR="00174695">
        <w:rPr>
          <w:rStyle w:val="FootnoteReference"/>
          <w:rFonts w:cstheme="minorHAnsi"/>
          <w:sz w:val="22"/>
          <w:szCs w:val="22"/>
        </w:rPr>
        <w:footnoteReference w:id="104"/>
      </w:r>
      <w:r w:rsidR="00BE6618">
        <w:rPr>
          <w:rFonts w:cstheme="minorHAnsi"/>
          <w:sz w:val="22"/>
          <w:szCs w:val="22"/>
        </w:rPr>
        <w:t xml:space="preserve"> </w:t>
      </w:r>
      <w:r w:rsidR="00201B0E">
        <w:rPr>
          <w:rFonts w:cstheme="minorHAnsi"/>
          <w:sz w:val="22"/>
          <w:szCs w:val="22"/>
        </w:rPr>
        <w:t>But</w:t>
      </w:r>
      <w:r w:rsidR="002609A3">
        <w:rPr>
          <w:rFonts w:cstheme="minorHAnsi"/>
          <w:sz w:val="22"/>
          <w:szCs w:val="22"/>
        </w:rPr>
        <w:t xml:space="preserve"> </w:t>
      </w:r>
      <w:r w:rsidR="00201B0E">
        <w:rPr>
          <w:rFonts w:cstheme="minorHAnsi"/>
          <w:sz w:val="22"/>
          <w:szCs w:val="22"/>
        </w:rPr>
        <w:t>this did</w:t>
      </w:r>
      <w:r w:rsidR="00BE6618">
        <w:rPr>
          <w:rFonts w:cstheme="minorHAnsi"/>
          <w:sz w:val="22"/>
          <w:szCs w:val="22"/>
        </w:rPr>
        <w:t xml:space="preserve"> </w:t>
      </w:r>
      <w:r w:rsidR="00201B0E">
        <w:rPr>
          <w:rFonts w:cstheme="minorHAnsi"/>
          <w:sz w:val="22"/>
          <w:szCs w:val="22"/>
        </w:rPr>
        <w:t>n</w:t>
      </w:r>
      <w:r w:rsidR="00BE6618">
        <w:rPr>
          <w:rFonts w:cstheme="minorHAnsi"/>
          <w:sz w:val="22"/>
          <w:szCs w:val="22"/>
        </w:rPr>
        <w:t>o</w:t>
      </w:r>
      <w:r w:rsidR="00201B0E">
        <w:rPr>
          <w:rFonts w:cstheme="minorHAnsi"/>
          <w:sz w:val="22"/>
          <w:szCs w:val="22"/>
        </w:rPr>
        <w:t>t</w:t>
      </w:r>
      <w:r w:rsidR="002609A3">
        <w:rPr>
          <w:rFonts w:cstheme="minorHAnsi"/>
          <w:sz w:val="22"/>
          <w:szCs w:val="22"/>
        </w:rPr>
        <w:t xml:space="preserve"> </w:t>
      </w:r>
      <w:r w:rsidR="00201B0E">
        <w:rPr>
          <w:rFonts w:cstheme="minorHAnsi"/>
          <w:sz w:val="22"/>
          <w:szCs w:val="22"/>
        </w:rPr>
        <w:t>matter</w:t>
      </w:r>
      <w:r w:rsidR="00A16FAF">
        <w:rPr>
          <w:rFonts w:cstheme="minorHAnsi"/>
          <w:sz w:val="22"/>
          <w:szCs w:val="22"/>
        </w:rPr>
        <w:t>,</w:t>
      </w:r>
      <w:r w:rsidR="00201B0E">
        <w:rPr>
          <w:rFonts w:cstheme="minorHAnsi"/>
          <w:sz w:val="22"/>
          <w:szCs w:val="22"/>
        </w:rPr>
        <w:t xml:space="preserve"> </w:t>
      </w:r>
      <w:r w:rsidR="002A7BB7">
        <w:rPr>
          <w:rFonts w:cstheme="minorHAnsi"/>
          <w:sz w:val="22"/>
          <w:szCs w:val="22"/>
        </w:rPr>
        <w:t xml:space="preserve">perhaps </w:t>
      </w:r>
      <w:r w:rsidR="00201B0E">
        <w:rPr>
          <w:rFonts w:cstheme="minorHAnsi"/>
          <w:sz w:val="22"/>
          <w:szCs w:val="22"/>
        </w:rPr>
        <w:t xml:space="preserve">because the arguments were already </w:t>
      </w:r>
      <w:r w:rsidR="00BE6618">
        <w:rPr>
          <w:rFonts w:cstheme="minorHAnsi"/>
          <w:sz w:val="22"/>
          <w:szCs w:val="22"/>
        </w:rPr>
        <w:t>being</w:t>
      </w:r>
      <w:r w:rsidR="004B3A3E">
        <w:rPr>
          <w:rFonts w:cstheme="minorHAnsi"/>
          <w:sz w:val="22"/>
          <w:szCs w:val="22"/>
        </w:rPr>
        <w:t xml:space="preserve"> made</w:t>
      </w:r>
      <w:r w:rsidR="00BE6618">
        <w:rPr>
          <w:rFonts w:cstheme="minorHAnsi"/>
          <w:sz w:val="22"/>
          <w:szCs w:val="22"/>
        </w:rPr>
        <w:t xml:space="preserve"> in other contexts</w:t>
      </w:r>
      <w:r w:rsidR="00201B0E">
        <w:rPr>
          <w:rFonts w:cstheme="minorHAnsi"/>
          <w:sz w:val="22"/>
          <w:szCs w:val="22"/>
        </w:rPr>
        <w:t xml:space="preserve">. Representation on the </w:t>
      </w:r>
      <w:r w:rsidR="002A7BB7">
        <w:rPr>
          <w:rFonts w:cstheme="minorHAnsi"/>
          <w:sz w:val="22"/>
          <w:szCs w:val="22"/>
        </w:rPr>
        <w:t xml:space="preserve">Industrial </w:t>
      </w:r>
      <w:r w:rsidR="00201B0E">
        <w:rPr>
          <w:rFonts w:cstheme="minorHAnsi"/>
          <w:sz w:val="22"/>
          <w:szCs w:val="22"/>
        </w:rPr>
        <w:t>Court was</w:t>
      </w:r>
      <w:r w:rsidR="002A7BB7">
        <w:rPr>
          <w:rFonts w:cstheme="minorHAnsi"/>
          <w:sz w:val="22"/>
          <w:szCs w:val="22"/>
        </w:rPr>
        <w:t xml:space="preserve"> seen and understood as </w:t>
      </w:r>
      <w:r w:rsidR="00201B0E">
        <w:rPr>
          <w:rFonts w:cstheme="minorHAnsi"/>
          <w:sz w:val="22"/>
          <w:szCs w:val="22"/>
        </w:rPr>
        <w:t>an extension</w:t>
      </w:r>
      <w:r w:rsidR="002A7BB7">
        <w:rPr>
          <w:rFonts w:cstheme="minorHAnsi"/>
          <w:sz w:val="22"/>
          <w:szCs w:val="22"/>
        </w:rPr>
        <w:t xml:space="preserve"> or application</w:t>
      </w:r>
      <w:r w:rsidR="00201B0E">
        <w:rPr>
          <w:rFonts w:cstheme="minorHAnsi"/>
          <w:sz w:val="22"/>
          <w:szCs w:val="22"/>
        </w:rPr>
        <w:t xml:space="preserve"> of</w:t>
      </w:r>
      <w:r w:rsidR="002A7BB7">
        <w:rPr>
          <w:rFonts w:cstheme="minorHAnsi"/>
          <w:sz w:val="22"/>
          <w:szCs w:val="22"/>
        </w:rPr>
        <w:t xml:space="preserve"> wider arguments and campaigns for women’s political</w:t>
      </w:r>
      <w:r w:rsidR="00201B0E">
        <w:rPr>
          <w:rFonts w:cstheme="minorHAnsi"/>
          <w:sz w:val="22"/>
          <w:szCs w:val="22"/>
        </w:rPr>
        <w:t xml:space="preserve"> representation and equal citizenship. It was part of a broader picture and </w:t>
      </w:r>
      <w:r w:rsidR="00A16FAF">
        <w:rPr>
          <w:rFonts w:cstheme="minorHAnsi"/>
          <w:sz w:val="22"/>
          <w:szCs w:val="22"/>
        </w:rPr>
        <w:t>movement</w:t>
      </w:r>
      <w:r w:rsidR="00201B0E">
        <w:rPr>
          <w:rFonts w:cstheme="minorHAnsi"/>
          <w:sz w:val="22"/>
          <w:szCs w:val="22"/>
        </w:rPr>
        <w:t xml:space="preserve">. </w:t>
      </w:r>
      <w:r w:rsidR="009868B0">
        <w:rPr>
          <w:rFonts w:cstheme="minorHAnsi"/>
          <w:sz w:val="22"/>
          <w:szCs w:val="22"/>
        </w:rPr>
        <w:t xml:space="preserve">Many – maybe even all – of the </w:t>
      </w:r>
      <w:proofErr w:type="gramStart"/>
      <w:r w:rsidR="009868B0">
        <w:rPr>
          <w:rFonts w:cstheme="minorHAnsi"/>
          <w:sz w:val="22"/>
          <w:szCs w:val="22"/>
        </w:rPr>
        <w:t>MPs</w:t>
      </w:r>
      <w:proofErr w:type="gramEnd"/>
      <w:r w:rsidR="009868B0">
        <w:rPr>
          <w:rFonts w:cstheme="minorHAnsi"/>
          <w:sz w:val="22"/>
          <w:szCs w:val="22"/>
        </w:rPr>
        <w:t xml:space="preserve"> present </w:t>
      </w:r>
      <w:r w:rsidR="009868B0" w:rsidRPr="00132E6F">
        <w:rPr>
          <w:rFonts w:cstheme="minorHAnsi"/>
          <w:sz w:val="22"/>
          <w:szCs w:val="22"/>
        </w:rPr>
        <w:t>would have been familiar</w:t>
      </w:r>
      <w:r w:rsidR="009868B0">
        <w:rPr>
          <w:rFonts w:cstheme="minorHAnsi"/>
          <w:sz w:val="22"/>
          <w:szCs w:val="22"/>
        </w:rPr>
        <w:t xml:space="preserve"> with (though, of course, not necessarily supportive of)</w:t>
      </w:r>
      <w:r w:rsidR="009868B0" w:rsidRPr="00132E6F">
        <w:rPr>
          <w:rFonts w:cstheme="minorHAnsi"/>
          <w:sz w:val="22"/>
          <w:szCs w:val="22"/>
        </w:rPr>
        <w:t xml:space="preserve"> the arguments for </w:t>
      </w:r>
      <w:r w:rsidR="009868B0">
        <w:rPr>
          <w:rFonts w:cstheme="minorHAnsi"/>
          <w:sz w:val="22"/>
          <w:szCs w:val="22"/>
        </w:rPr>
        <w:t xml:space="preserve">equal </w:t>
      </w:r>
      <w:r w:rsidR="009868B0" w:rsidRPr="00132E6F">
        <w:rPr>
          <w:rFonts w:cstheme="minorHAnsi"/>
          <w:sz w:val="22"/>
          <w:szCs w:val="22"/>
        </w:rPr>
        <w:t>citizenship</w:t>
      </w:r>
      <w:r w:rsidR="00E211DD">
        <w:rPr>
          <w:rFonts w:cstheme="minorHAnsi"/>
          <w:sz w:val="22"/>
          <w:szCs w:val="22"/>
        </w:rPr>
        <w:t>,</w:t>
      </w:r>
      <w:r w:rsidR="00F829DD">
        <w:rPr>
          <w:rFonts w:cstheme="minorHAnsi"/>
          <w:sz w:val="22"/>
          <w:szCs w:val="22"/>
        </w:rPr>
        <w:t xml:space="preserve"> </w:t>
      </w:r>
      <w:r w:rsidR="00E211DD">
        <w:rPr>
          <w:rFonts w:cstheme="minorHAnsi"/>
          <w:sz w:val="22"/>
          <w:szCs w:val="22"/>
        </w:rPr>
        <w:t xml:space="preserve">including those grounded in women’s ‘special skills’, </w:t>
      </w:r>
      <w:r w:rsidR="009868B0" w:rsidRPr="00132E6F">
        <w:rPr>
          <w:rFonts w:cstheme="minorHAnsi"/>
          <w:sz w:val="22"/>
          <w:szCs w:val="22"/>
        </w:rPr>
        <w:t xml:space="preserve">made </w:t>
      </w:r>
      <w:r w:rsidR="00F829DD">
        <w:rPr>
          <w:rFonts w:cstheme="minorHAnsi"/>
          <w:sz w:val="22"/>
          <w:szCs w:val="22"/>
        </w:rPr>
        <w:t>during the long and protracted campaigns for franchise reform</w:t>
      </w:r>
      <w:r w:rsidR="00E211DD">
        <w:rPr>
          <w:rFonts w:cstheme="minorHAnsi"/>
          <w:sz w:val="22"/>
          <w:szCs w:val="22"/>
        </w:rPr>
        <w:t>.</w:t>
      </w:r>
      <w:r w:rsidR="00C865A6">
        <w:rPr>
          <w:rStyle w:val="FootnoteReference"/>
          <w:rFonts w:cstheme="minorHAnsi"/>
          <w:sz w:val="22"/>
          <w:szCs w:val="22"/>
        </w:rPr>
        <w:footnoteReference w:id="105"/>
      </w:r>
      <w:r w:rsidR="00E211DD">
        <w:rPr>
          <w:rFonts w:cstheme="minorHAnsi"/>
          <w:sz w:val="22"/>
          <w:szCs w:val="22"/>
        </w:rPr>
        <w:t xml:space="preserve"> </w:t>
      </w:r>
      <w:r w:rsidR="00C865A6">
        <w:rPr>
          <w:rFonts w:cstheme="minorHAnsi"/>
          <w:sz w:val="22"/>
          <w:szCs w:val="22"/>
        </w:rPr>
        <w:t xml:space="preserve"> </w:t>
      </w:r>
      <w:r w:rsidR="007B0921">
        <w:rPr>
          <w:rFonts w:cstheme="minorHAnsi"/>
          <w:sz w:val="22"/>
          <w:szCs w:val="22"/>
        </w:rPr>
        <w:t>T</w:t>
      </w:r>
      <w:r w:rsidR="00E211DD">
        <w:rPr>
          <w:rFonts w:cstheme="minorHAnsi"/>
          <w:sz w:val="22"/>
          <w:szCs w:val="22"/>
        </w:rPr>
        <w:t>hese arguments were still</w:t>
      </w:r>
      <w:r w:rsidR="00F829DD">
        <w:rPr>
          <w:rFonts w:cstheme="minorHAnsi"/>
          <w:sz w:val="22"/>
          <w:szCs w:val="22"/>
        </w:rPr>
        <w:t xml:space="preserve"> ongoing</w:t>
      </w:r>
      <w:r w:rsidR="00E211DD">
        <w:rPr>
          <w:rFonts w:cstheme="minorHAnsi"/>
          <w:sz w:val="22"/>
          <w:szCs w:val="22"/>
        </w:rPr>
        <w:t>. Equal rights were not ‘won’ in 1918.</w:t>
      </w:r>
      <w:r w:rsidR="009868B0" w:rsidRPr="00132E6F">
        <w:rPr>
          <w:rFonts w:cstheme="minorHAnsi"/>
          <w:sz w:val="22"/>
          <w:szCs w:val="22"/>
        </w:rPr>
        <w:t xml:space="preserve"> </w:t>
      </w:r>
      <w:r w:rsidR="00243BAF">
        <w:rPr>
          <w:rFonts w:cstheme="minorHAnsi"/>
          <w:sz w:val="22"/>
          <w:szCs w:val="22"/>
        </w:rPr>
        <w:t>And</w:t>
      </w:r>
      <w:r w:rsidR="00347478">
        <w:rPr>
          <w:rFonts w:cstheme="minorHAnsi"/>
          <w:sz w:val="22"/>
          <w:szCs w:val="22"/>
        </w:rPr>
        <w:t>,</w:t>
      </w:r>
      <w:r w:rsidR="00243BAF">
        <w:rPr>
          <w:rFonts w:cstheme="minorHAnsi"/>
          <w:sz w:val="22"/>
          <w:szCs w:val="22"/>
        </w:rPr>
        <w:t xml:space="preserve"> i</w:t>
      </w:r>
      <w:r w:rsidR="00E211DD">
        <w:rPr>
          <w:rFonts w:cstheme="minorHAnsi"/>
          <w:sz w:val="22"/>
          <w:szCs w:val="22"/>
        </w:rPr>
        <w:t>n any event, as</w:t>
      </w:r>
      <w:r w:rsidR="00F829DD">
        <w:rPr>
          <w:rFonts w:cstheme="minorHAnsi"/>
          <w:sz w:val="22"/>
          <w:szCs w:val="22"/>
        </w:rPr>
        <w:t xml:space="preserve"> Anne Logan points out in her study on the early women magistrates, </w:t>
      </w:r>
      <w:r w:rsidR="00F829DD">
        <w:rPr>
          <w:rFonts w:cstheme="minorHAnsi"/>
          <w:i/>
          <w:iCs/>
          <w:sz w:val="22"/>
          <w:szCs w:val="22"/>
        </w:rPr>
        <w:t xml:space="preserve">political </w:t>
      </w:r>
      <w:r w:rsidR="00F829DD">
        <w:rPr>
          <w:rFonts w:cstheme="minorHAnsi"/>
          <w:sz w:val="22"/>
          <w:szCs w:val="22"/>
        </w:rPr>
        <w:t>rights were only one aspect of equal citizenship, which also included civic and social rights and duties</w:t>
      </w:r>
      <w:r w:rsidR="00E211DD">
        <w:rPr>
          <w:rFonts w:cstheme="minorHAnsi"/>
          <w:sz w:val="22"/>
          <w:szCs w:val="22"/>
        </w:rPr>
        <w:t xml:space="preserve">: </w:t>
      </w:r>
      <w:r w:rsidR="00F6033B">
        <w:rPr>
          <w:rFonts w:cstheme="minorHAnsi"/>
          <w:sz w:val="22"/>
          <w:szCs w:val="22"/>
        </w:rPr>
        <w:t xml:space="preserve"> </w:t>
      </w:r>
    </w:p>
    <w:p w14:paraId="52C54519" w14:textId="49AF46A1" w:rsidR="00E211DD" w:rsidRDefault="00347478" w:rsidP="00347478">
      <w:pPr>
        <w:spacing w:line="360" w:lineRule="auto"/>
        <w:ind w:left="720"/>
        <w:rPr>
          <w:rFonts w:cstheme="minorHAnsi"/>
          <w:sz w:val="22"/>
          <w:szCs w:val="22"/>
        </w:rPr>
      </w:pPr>
      <w:r w:rsidRPr="00E211DD">
        <w:rPr>
          <w:rFonts w:cstheme="minorHAnsi"/>
          <w:sz w:val="22"/>
          <w:szCs w:val="22"/>
        </w:rPr>
        <w:t>for</w:t>
      </w:r>
      <w:r>
        <w:rPr>
          <w:rFonts w:cstheme="minorHAnsi"/>
          <w:sz w:val="22"/>
          <w:szCs w:val="22"/>
        </w:rPr>
        <w:t xml:space="preserve"> </w:t>
      </w:r>
      <w:r w:rsidRPr="00E211DD">
        <w:rPr>
          <w:rFonts w:cstheme="minorHAnsi"/>
          <w:sz w:val="22"/>
          <w:szCs w:val="22"/>
        </w:rPr>
        <w:t>women’s suffrage campaigners</w:t>
      </w:r>
      <w:r>
        <w:rPr>
          <w:rFonts w:cstheme="minorHAnsi"/>
          <w:sz w:val="22"/>
          <w:szCs w:val="22"/>
        </w:rPr>
        <w:t xml:space="preserve"> </w:t>
      </w:r>
      <w:r w:rsidR="00E211DD" w:rsidRPr="00E211DD">
        <w:rPr>
          <w:rFonts w:cstheme="minorHAnsi"/>
          <w:sz w:val="22"/>
          <w:szCs w:val="22"/>
        </w:rPr>
        <w:t>the vote was not an end in itself, but a means to an end</w:t>
      </w:r>
      <w:r>
        <w:rPr>
          <w:rFonts w:cstheme="minorHAnsi"/>
          <w:sz w:val="22"/>
          <w:szCs w:val="22"/>
        </w:rPr>
        <w:t>;</w:t>
      </w:r>
      <w:r w:rsidR="00F6033B">
        <w:rPr>
          <w:rFonts w:cstheme="minorHAnsi"/>
          <w:sz w:val="22"/>
          <w:szCs w:val="22"/>
        </w:rPr>
        <w:t xml:space="preserve"> </w:t>
      </w:r>
      <w:r w:rsidR="00E211DD" w:rsidRPr="00E211DD">
        <w:rPr>
          <w:rFonts w:cstheme="minorHAnsi"/>
          <w:sz w:val="22"/>
          <w:szCs w:val="22"/>
        </w:rPr>
        <w:t xml:space="preserve">in the words of Mrs Fawcett, </w:t>
      </w:r>
      <w:r>
        <w:rPr>
          <w:rFonts w:cstheme="minorHAnsi"/>
          <w:sz w:val="22"/>
          <w:szCs w:val="22"/>
        </w:rPr>
        <w:t>‘</w:t>
      </w:r>
      <w:r w:rsidR="00E211DD" w:rsidRPr="00E211DD">
        <w:rPr>
          <w:rFonts w:cstheme="minorHAnsi"/>
          <w:sz w:val="22"/>
          <w:szCs w:val="22"/>
        </w:rPr>
        <w:t>the achievement of a nobler and truer relationship</w:t>
      </w:r>
      <w:r w:rsidR="00E211DD">
        <w:rPr>
          <w:rFonts w:cstheme="minorHAnsi"/>
          <w:sz w:val="22"/>
          <w:szCs w:val="22"/>
        </w:rPr>
        <w:t xml:space="preserve"> </w:t>
      </w:r>
      <w:r w:rsidR="00E211DD" w:rsidRPr="00E211DD">
        <w:rPr>
          <w:rFonts w:cstheme="minorHAnsi"/>
          <w:sz w:val="22"/>
          <w:szCs w:val="22"/>
        </w:rPr>
        <w:t xml:space="preserve">between the </w:t>
      </w:r>
      <w:proofErr w:type="gramStart"/>
      <w:r w:rsidR="00E211DD" w:rsidRPr="00E211DD">
        <w:rPr>
          <w:rFonts w:cstheme="minorHAnsi"/>
          <w:sz w:val="22"/>
          <w:szCs w:val="22"/>
        </w:rPr>
        <w:t>sexes</w:t>
      </w:r>
      <w:r w:rsidR="00E211DD">
        <w:rPr>
          <w:rFonts w:cstheme="minorHAnsi"/>
          <w:sz w:val="22"/>
          <w:szCs w:val="22"/>
        </w:rPr>
        <w:t>’</w:t>
      </w:r>
      <w:proofErr w:type="gramEnd"/>
      <w:r w:rsidR="00E211DD">
        <w:rPr>
          <w:rFonts w:cstheme="minorHAnsi"/>
          <w:sz w:val="22"/>
          <w:szCs w:val="22"/>
        </w:rPr>
        <w:t>.</w:t>
      </w:r>
      <w:r w:rsidR="00795DCC">
        <w:rPr>
          <w:rStyle w:val="FootnoteReference"/>
          <w:rFonts w:cstheme="minorHAnsi"/>
          <w:sz w:val="22"/>
          <w:szCs w:val="22"/>
        </w:rPr>
        <w:footnoteReference w:id="106"/>
      </w:r>
    </w:p>
    <w:p w14:paraId="2F12610F" w14:textId="77777777" w:rsidR="00EC0218" w:rsidRDefault="00EC0218" w:rsidP="009868B0">
      <w:pPr>
        <w:spacing w:line="360" w:lineRule="auto"/>
        <w:rPr>
          <w:rFonts w:cstheme="minorHAnsi"/>
          <w:sz w:val="22"/>
          <w:szCs w:val="22"/>
        </w:rPr>
      </w:pPr>
    </w:p>
    <w:p w14:paraId="71C17035" w14:textId="6EF3B5F0" w:rsidR="009868B0" w:rsidRDefault="002E4F87" w:rsidP="009868B0">
      <w:pPr>
        <w:spacing w:line="360" w:lineRule="auto"/>
        <w:rPr>
          <w:rFonts w:cstheme="minorHAnsi"/>
          <w:sz w:val="22"/>
          <w:szCs w:val="22"/>
        </w:rPr>
      </w:pPr>
      <w:r>
        <w:rPr>
          <w:rFonts w:cstheme="minorHAnsi"/>
          <w:sz w:val="22"/>
          <w:szCs w:val="22"/>
        </w:rPr>
        <w:t>So too with</w:t>
      </w:r>
      <w:r w:rsidR="00881897">
        <w:rPr>
          <w:rFonts w:cstheme="minorHAnsi"/>
          <w:sz w:val="22"/>
          <w:szCs w:val="22"/>
        </w:rPr>
        <w:t xml:space="preserve"> judicial diversity. </w:t>
      </w:r>
      <w:r w:rsidR="002C61E7">
        <w:rPr>
          <w:rFonts w:cstheme="minorHAnsi"/>
          <w:sz w:val="22"/>
          <w:szCs w:val="22"/>
        </w:rPr>
        <w:t xml:space="preserve"> </w:t>
      </w:r>
      <w:r w:rsidR="00881897">
        <w:rPr>
          <w:rFonts w:cstheme="minorHAnsi"/>
          <w:sz w:val="22"/>
          <w:szCs w:val="22"/>
        </w:rPr>
        <w:t xml:space="preserve">A diverse judiciary </w:t>
      </w:r>
      <w:r w:rsidR="007B0921">
        <w:rPr>
          <w:rFonts w:cstheme="minorHAnsi"/>
          <w:sz w:val="22"/>
          <w:szCs w:val="22"/>
        </w:rPr>
        <w:t xml:space="preserve">is </w:t>
      </w:r>
      <w:r w:rsidR="00730802">
        <w:rPr>
          <w:rFonts w:cstheme="minorHAnsi"/>
          <w:sz w:val="22"/>
          <w:szCs w:val="22"/>
        </w:rPr>
        <w:t xml:space="preserve">not as an </w:t>
      </w:r>
      <w:proofErr w:type="gramStart"/>
      <w:r w:rsidR="00730802">
        <w:rPr>
          <w:rFonts w:cstheme="minorHAnsi"/>
          <w:sz w:val="22"/>
          <w:szCs w:val="22"/>
        </w:rPr>
        <w:t>end in itself</w:t>
      </w:r>
      <w:proofErr w:type="gramEnd"/>
      <w:r w:rsidR="002C61E7">
        <w:rPr>
          <w:rFonts w:cstheme="minorHAnsi"/>
          <w:sz w:val="22"/>
          <w:szCs w:val="22"/>
        </w:rPr>
        <w:t xml:space="preserve"> (though this is important)</w:t>
      </w:r>
      <w:r w:rsidR="00881897">
        <w:rPr>
          <w:rFonts w:cstheme="minorHAnsi"/>
          <w:sz w:val="22"/>
          <w:szCs w:val="22"/>
        </w:rPr>
        <w:t xml:space="preserve">, </w:t>
      </w:r>
      <w:r w:rsidR="002C61E7">
        <w:rPr>
          <w:rFonts w:cstheme="minorHAnsi"/>
          <w:sz w:val="22"/>
          <w:szCs w:val="22"/>
        </w:rPr>
        <w:t xml:space="preserve">nor is it simply </w:t>
      </w:r>
      <w:r w:rsidR="00881897">
        <w:rPr>
          <w:rFonts w:cstheme="minorHAnsi"/>
          <w:sz w:val="22"/>
          <w:szCs w:val="22"/>
        </w:rPr>
        <w:t>means of securing better justice for society as a whole</w:t>
      </w:r>
      <w:r w:rsidR="002C61E7">
        <w:rPr>
          <w:rFonts w:cstheme="minorHAnsi"/>
          <w:sz w:val="22"/>
          <w:szCs w:val="22"/>
        </w:rPr>
        <w:t xml:space="preserve"> (though this too is important)</w:t>
      </w:r>
      <w:r w:rsidR="00881897">
        <w:rPr>
          <w:rFonts w:cstheme="minorHAnsi"/>
          <w:sz w:val="22"/>
          <w:szCs w:val="22"/>
        </w:rPr>
        <w:t xml:space="preserve">. </w:t>
      </w:r>
      <w:r w:rsidR="00B05BD8">
        <w:rPr>
          <w:rFonts w:cstheme="minorHAnsi"/>
          <w:sz w:val="22"/>
          <w:szCs w:val="22"/>
        </w:rPr>
        <w:t>Efforts to secure a</w:t>
      </w:r>
      <w:r>
        <w:rPr>
          <w:rFonts w:cstheme="minorHAnsi"/>
          <w:sz w:val="22"/>
          <w:szCs w:val="22"/>
        </w:rPr>
        <w:t xml:space="preserve"> </w:t>
      </w:r>
      <w:r w:rsidR="002C61E7">
        <w:rPr>
          <w:rFonts w:cstheme="minorHAnsi"/>
          <w:sz w:val="22"/>
          <w:szCs w:val="22"/>
        </w:rPr>
        <w:t xml:space="preserve">representative judiciary </w:t>
      </w:r>
      <w:r w:rsidR="00B05BD8">
        <w:rPr>
          <w:rFonts w:cstheme="minorHAnsi"/>
          <w:sz w:val="22"/>
          <w:szCs w:val="22"/>
        </w:rPr>
        <w:t>are</w:t>
      </w:r>
      <w:r w:rsidR="00EC0218">
        <w:rPr>
          <w:rFonts w:cstheme="minorHAnsi"/>
          <w:sz w:val="22"/>
          <w:szCs w:val="22"/>
        </w:rPr>
        <w:t xml:space="preserve"> best understood as</w:t>
      </w:r>
      <w:r w:rsidR="00881897">
        <w:rPr>
          <w:rFonts w:cstheme="minorHAnsi"/>
          <w:sz w:val="22"/>
          <w:szCs w:val="22"/>
        </w:rPr>
        <w:t xml:space="preserve"> part of</w:t>
      </w:r>
      <w:r w:rsidR="002C61E7">
        <w:rPr>
          <w:rFonts w:cstheme="minorHAnsi"/>
          <w:sz w:val="22"/>
          <w:szCs w:val="22"/>
        </w:rPr>
        <w:t xml:space="preserve"> broader and ongoing campaigns for equal citizenship</w:t>
      </w:r>
      <w:r w:rsidR="00B05BD8">
        <w:rPr>
          <w:rFonts w:cstheme="minorHAnsi"/>
          <w:sz w:val="22"/>
          <w:szCs w:val="22"/>
        </w:rPr>
        <w:t xml:space="preserve"> </w:t>
      </w:r>
      <w:r w:rsidR="002C61E7">
        <w:rPr>
          <w:rFonts w:cstheme="minorHAnsi"/>
          <w:sz w:val="22"/>
          <w:szCs w:val="22"/>
        </w:rPr>
        <w:t>and justice.</w:t>
      </w:r>
      <w:r>
        <w:rPr>
          <w:rStyle w:val="FootnoteReference"/>
          <w:rFonts w:cstheme="minorHAnsi"/>
          <w:sz w:val="22"/>
          <w:szCs w:val="22"/>
        </w:rPr>
        <w:footnoteReference w:id="107"/>
      </w:r>
      <w:r w:rsidR="002C61E7">
        <w:rPr>
          <w:rFonts w:cstheme="minorHAnsi"/>
          <w:sz w:val="22"/>
          <w:szCs w:val="22"/>
        </w:rPr>
        <w:t xml:space="preserve"> </w:t>
      </w:r>
      <w:r w:rsidR="00B05BD8">
        <w:rPr>
          <w:rFonts w:cstheme="minorHAnsi"/>
          <w:sz w:val="22"/>
          <w:szCs w:val="22"/>
        </w:rPr>
        <w:t xml:space="preserve">As such, arguments for greater diversity on the bench </w:t>
      </w:r>
      <w:r w:rsidR="00EC0218">
        <w:rPr>
          <w:rFonts w:cstheme="minorHAnsi"/>
          <w:sz w:val="22"/>
          <w:szCs w:val="22"/>
        </w:rPr>
        <w:t xml:space="preserve">are not special or distinct. But should rather </w:t>
      </w:r>
      <w:r w:rsidR="00B05BD8">
        <w:rPr>
          <w:rFonts w:cstheme="minorHAnsi"/>
          <w:sz w:val="22"/>
          <w:szCs w:val="22"/>
        </w:rPr>
        <w:t>be seen – and made – alongside those calling for greater representation in</w:t>
      </w:r>
      <w:r>
        <w:rPr>
          <w:rFonts w:cstheme="minorHAnsi"/>
          <w:sz w:val="22"/>
          <w:szCs w:val="22"/>
        </w:rPr>
        <w:t xml:space="preserve"> </w:t>
      </w:r>
      <w:r w:rsidR="002C61E7">
        <w:rPr>
          <w:rFonts w:cstheme="minorHAnsi"/>
          <w:sz w:val="22"/>
          <w:szCs w:val="22"/>
        </w:rPr>
        <w:t>Westminster, in board rooms, in</w:t>
      </w:r>
      <w:r w:rsidR="00B05BD8">
        <w:rPr>
          <w:rFonts w:cstheme="minorHAnsi"/>
          <w:sz w:val="22"/>
          <w:szCs w:val="22"/>
        </w:rPr>
        <w:t xml:space="preserve"> our</w:t>
      </w:r>
      <w:r w:rsidR="002C61E7">
        <w:rPr>
          <w:rFonts w:cstheme="minorHAnsi"/>
          <w:sz w:val="22"/>
          <w:szCs w:val="22"/>
        </w:rPr>
        <w:t xml:space="preserve"> public art</w:t>
      </w:r>
      <w:r w:rsidR="001C382F">
        <w:rPr>
          <w:rFonts w:cstheme="minorHAnsi"/>
          <w:sz w:val="22"/>
          <w:szCs w:val="22"/>
        </w:rPr>
        <w:t>s</w:t>
      </w:r>
      <w:r w:rsidR="002C61E7">
        <w:rPr>
          <w:rFonts w:cstheme="minorHAnsi"/>
          <w:sz w:val="22"/>
          <w:szCs w:val="22"/>
        </w:rPr>
        <w:t xml:space="preserve">, schools, </w:t>
      </w:r>
      <w:r w:rsidR="00B05BD8">
        <w:rPr>
          <w:rFonts w:cstheme="minorHAnsi"/>
          <w:sz w:val="22"/>
          <w:szCs w:val="22"/>
        </w:rPr>
        <w:t xml:space="preserve">and </w:t>
      </w:r>
      <w:r w:rsidR="001E2538">
        <w:rPr>
          <w:rFonts w:cstheme="minorHAnsi"/>
          <w:sz w:val="22"/>
          <w:szCs w:val="22"/>
        </w:rPr>
        <w:t>prize winners</w:t>
      </w:r>
      <w:r w:rsidR="00B05BD8">
        <w:rPr>
          <w:rFonts w:cstheme="minorHAnsi"/>
          <w:sz w:val="22"/>
          <w:szCs w:val="22"/>
        </w:rPr>
        <w:t>,</w:t>
      </w:r>
      <w:r w:rsidR="0012310A">
        <w:rPr>
          <w:rStyle w:val="FootnoteReference"/>
          <w:rFonts w:cstheme="minorHAnsi"/>
          <w:sz w:val="22"/>
          <w:szCs w:val="22"/>
        </w:rPr>
        <w:footnoteReference w:id="108"/>
      </w:r>
      <w:r w:rsidR="00B05BD8">
        <w:rPr>
          <w:rFonts w:cstheme="minorHAnsi"/>
          <w:sz w:val="22"/>
          <w:szCs w:val="22"/>
        </w:rPr>
        <w:t xml:space="preserve"> and as ‘part of a wider political equality project which </w:t>
      </w:r>
      <w:r w:rsidR="004B3A3E">
        <w:rPr>
          <w:rFonts w:cstheme="minorHAnsi"/>
          <w:sz w:val="22"/>
          <w:szCs w:val="22"/>
        </w:rPr>
        <w:t xml:space="preserve">[seeks] </w:t>
      </w:r>
      <w:r w:rsidR="007B0921">
        <w:rPr>
          <w:rFonts w:cstheme="minorHAnsi"/>
          <w:sz w:val="22"/>
          <w:szCs w:val="22"/>
        </w:rPr>
        <w:t>to</w:t>
      </w:r>
      <w:r w:rsidR="008A7627">
        <w:rPr>
          <w:rFonts w:cstheme="minorHAnsi"/>
          <w:sz w:val="22"/>
          <w:szCs w:val="22"/>
        </w:rPr>
        <w:t xml:space="preserve"> disrupt</w:t>
      </w:r>
      <w:r w:rsidR="00730802">
        <w:rPr>
          <w:rFonts w:cstheme="minorHAnsi"/>
          <w:sz w:val="22"/>
          <w:szCs w:val="22"/>
        </w:rPr>
        <w:t xml:space="preserve"> the over-representation of dominant identity groups</w:t>
      </w:r>
      <w:r w:rsidR="00B05BD8">
        <w:rPr>
          <w:rFonts w:cstheme="minorHAnsi"/>
          <w:sz w:val="22"/>
          <w:szCs w:val="22"/>
        </w:rPr>
        <w:t>’</w:t>
      </w:r>
      <w:r w:rsidR="00730802">
        <w:rPr>
          <w:rFonts w:cstheme="minorHAnsi"/>
          <w:sz w:val="22"/>
          <w:szCs w:val="22"/>
        </w:rPr>
        <w:t>.</w:t>
      </w:r>
      <w:r w:rsidR="00B05BD8">
        <w:rPr>
          <w:rStyle w:val="FootnoteReference"/>
          <w:rFonts w:cstheme="minorHAnsi"/>
          <w:sz w:val="22"/>
          <w:szCs w:val="22"/>
        </w:rPr>
        <w:footnoteReference w:id="109"/>
      </w:r>
      <w:r w:rsidR="00730802">
        <w:rPr>
          <w:rFonts w:cstheme="minorHAnsi"/>
          <w:sz w:val="22"/>
          <w:szCs w:val="22"/>
        </w:rPr>
        <w:t xml:space="preserve"> </w:t>
      </w:r>
    </w:p>
    <w:p w14:paraId="5492F7E4" w14:textId="77777777" w:rsidR="008A1706" w:rsidRDefault="008A1706" w:rsidP="009868B0">
      <w:pPr>
        <w:spacing w:line="360" w:lineRule="auto"/>
        <w:rPr>
          <w:rFonts w:cstheme="minorHAnsi"/>
          <w:sz w:val="22"/>
          <w:szCs w:val="22"/>
        </w:rPr>
      </w:pPr>
    </w:p>
    <w:p w14:paraId="0930C8DA" w14:textId="0F16A89B" w:rsidR="005411FB" w:rsidRPr="005411FB" w:rsidRDefault="005411FB" w:rsidP="005411FB">
      <w:pPr>
        <w:spacing w:line="360" w:lineRule="auto"/>
        <w:jc w:val="center"/>
        <w:rPr>
          <w:rFonts w:cstheme="minorHAnsi"/>
          <w:i/>
          <w:iCs/>
          <w:sz w:val="22"/>
          <w:szCs w:val="22"/>
        </w:rPr>
      </w:pPr>
      <w:r w:rsidRPr="005411FB">
        <w:rPr>
          <w:rFonts w:cstheme="minorHAnsi"/>
          <w:i/>
          <w:iCs/>
          <w:sz w:val="22"/>
          <w:szCs w:val="22"/>
        </w:rPr>
        <w:t xml:space="preserve">c. </w:t>
      </w:r>
      <w:r>
        <w:rPr>
          <w:rFonts w:cstheme="minorHAnsi"/>
          <w:i/>
          <w:iCs/>
          <w:sz w:val="22"/>
          <w:szCs w:val="22"/>
        </w:rPr>
        <w:t>Q</w:t>
      </w:r>
      <w:r w:rsidRPr="005411FB">
        <w:rPr>
          <w:rFonts w:cstheme="minorHAnsi"/>
          <w:i/>
          <w:iCs/>
          <w:sz w:val="22"/>
          <w:szCs w:val="22"/>
        </w:rPr>
        <w:t>uotas work</w:t>
      </w:r>
    </w:p>
    <w:p w14:paraId="27B63B3D" w14:textId="77777777" w:rsidR="005411FB" w:rsidRDefault="005411FB" w:rsidP="009868B0">
      <w:pPr>
        <w:spacing w:line="360" w:lineRule="auto"/>
        <w:rPr>
          <w:rFonts w:cstheme="minorHAnsi"/>
          <w:sz w:val="22"/>
          <w:szCs w:val="22"/>
        </w:rPr>
      </w:pPr>
    </w:p>
    <w:p w14:paraId="56D385F0" w14:textId="19560402" w:rsidR="004B3A3E" w:rsidRDefault="003F600A" w:rsidP="0030300E">
      <w:pPr>
        <w:spacing w:line="360" w:lineRule="auto"/>
        <w:rPr>
          <w:rFonts w:cstheme="minorHAnsi"/>
          <w:sz w:val="22"/>
          <w:szCs w:val="22"/>
        </w:rPr>
      </w:pPr>
      <w:r>
        <w:rPr>
          <w:rFonts w:cstheme="minorHAnsi"/>
          <w:sz w:val="22"/>
          <w:szCs w:val="22"/>
        </w:rPr>
        <w:lastRenderedPageBreak/>
        <w:t xml:space="preserve">The third lesson from the Industrial Court is this: </w:t>
      </w:r>
      <w:r w:rsidR="00D678DD">
        <w:rPr>
          <w:rFonts w:cstheme="minorHAnsi"/>
          <w:sz w:val="22"/>
          <w:szCs w:val="22"/>
        </w:rPr>
        <w:t>quotas work.</w:t>
      </w:r>
      <w:r w:rsidR="001404EF">
        <w:rPr>
          <w:rStyle w:val="FootnoteReference"/>
          <w:rFonts w:cstheme="minorHAnsi"/>
          <w:sz w:val="22"/>
          <w:szCs w:val="22"/>
        </w:rPr>
        <w:footnoteReference w:id="110"/>
      </w:r>
      <w:r w:rsidR="00D678DD">
        <w:rPr>
          <w:rFonts w:cstheme="minorHAnsi"/>
          <w:sz w:val="22"/>
          <w:szCs w:val="22"/>
        </w:rPr>
        <w:t xml:space="preserve"> They get the job done. </w:t>
      </w:r>
      <w:proofErr w:type="gramStart"/>
      <w:r w:rsidR="001C382F">
        <w:rPr>
          <w:rFonts w:cstheme="minorHAnsi"/>
          <w:sz w:val="22"/>
          <w:szCs w:val="22"/>
        </w:rPr>
        <w:t>Indeed</w:t>
      </w:r>
      <w:proofErr w:type="gramEnd"/>
      <w:r w:rsidR="001C382F">
        <w:rPr>
          <w:rFonts w:cstheme="minorHAnsi"/>
          <w:sz w:val="22"/>
          <w:szCs w:val="22"/>
        </w:rPr>
        <w:t xml:space="preserve"> w</w:t>
      </w:r>
      <w:r w:rsidR="00D678DD">
        <w:rPr>
          <w:rFonts w:cstheme="minorHAnsi"/>
          <w:sz w:val="22"/>
          <w:szCs w:val="22"/>
        </w:rPr>
        <w:t>e know this</w:t>
      </w:r>
      <w:r w:rsidR="001C382F">
        <w:rPr>
          <w:rFonts w:cstheme="minorHAnsi"/>
          <w:sz w:val="22"/>
          <w:szCs w:val="22"/>
        </w:rPr>
        <w:t xml:space="preserve"> already</w:t>
      </w:r>
      <w:r w:rsidR="00D678DD">
        <w:rPr>
          <w:rFonts w:cstheme="minorHAnsi"/>
          <w:sz w:val="22"/>
          <w:szCs w:val="22"/>
        </w:rPr>
        <w:t>. We see it every time a Justice from Northern Ireland or Scotland retires from the UK Supreme Court.</w:t>
      </w:r>
      <w:r w:rsidR="00D678DD">
        <w:rPr>
          <w:rStyle w:val="FootnoteReference"/>
          <w:rFonts w:cstheme="minorHAnsi"/>
          <w:sz w:val="22"/>
          <w:szCs w:val="22"/>
        </w:rPr>
        <w:footnoteReference w:id="111"/>
      </w:r>
      <w:r w:rsidR="00D678DD">
        <w:rPr>
          <w:rFonts w:cstheme="minorHAnsi"/>
          <w:sz w:val="22"/>
          <w:szCs w:val="22"/>
        </w:rPr>
        <w:t xml:space="preserve"> We see it too </w:t>
      </w:r>
      <w:r w:rsidR="00B05BD8">
        <w:rPr>
          <w:rFonts w:cstheme="minorHAnsi"/>
          <w:sz w:val="22"/>
          <w:szCs w:val="22"/>
        </w:rPr>
        <w:t xml:space="preserve">in section 1(1) of the Industrial Courts Act 1919, requiring the </w:t>
      </w:r>
      <w:r w:rsidR="00A771AF">
        <w:rPr>
          <w:rFonts w:cstheme="minorHAnsi"/>
          <w:sz w:val="22"/>
          <w:szCs w:val="22"/>
        </w:rPr>
        <w:t xml:space="preserve">Minister for Labour </w:t>
      </w:r>
      <w:r w:rsidR="003B1A4A">
        <w:rPr>
          <w:rFonts w:cstheme="minorHAnsi"/>
          <w:sz w:val="22"/>
          <w:szCs w:val="22"/>
        </w:rPr>
        <w:t xml:space="preserve">to </w:t>
      </w:r>
      <w:r w:rsidR="00A771AF">
        <w:rPr>
          <w:rFonts w:cstheme="minorHAnsi"/>
          <w:sz w:val="22"/>
          <w:szCs w:val="22"/>
        </w:rPr>
        <w:t>proactively seek wom</w:t>
      </w:r>
      <w:r w:rsidR="00F85F6D">
        <w:rPr>
          <w:rFonts w:cstheme="minorHAnsi"/>
          <w:sz w:val="22"/>
          <w:szCs w:val="22"/>
        </w:rPr>
        <w:t>a</w:t>
      </w:r>
      <w:r w:rsidR="00A771AF">
        <w:rPr>
          <w:rFonts w:cstheme="minorHAnsi"/>
          <w:sz w:val="22"/>
          <w:szCs w:val="22"/>
        </w:rPr>
        <w:t xml:space="preserve">n </w:t>
      </w:r>
      <w:r w:rsidR="00F85F6D">
        <w:rPr>
          <w:rFonts w:cstheme="minorHAnsi"/>
          <w:sz w:val="22"/>
          <w:szCs w:val="22"/>
        </w:rPr>
        <w:t>to appoint</w:t>
      </w:r>
      <w:r w:rsidR="00A771AF">
        <w:rPr>
          <w:rFonts w:cstheme="minorHAnsi"/>
          <w:sz w:val="22"/>
          <w:szCs w:val="22"/>
        </w:rPr>
        <w:t xml:space="preserve"> to the court</w:t>
      </w:r>
      <w:r w:rsidR="00D678DD">
        <w:rPr>
          <w:rFonts w:cstheme="minorHAnsi"/>
          <w:sz w:val="22"/>
          <w:szCs w:val="22"/>
        </w:rPr>
        <w:t>.</w:t>
      </w:r>
      <w:r w:rsidR="00C16F4E">
        <w:rPr>
          <w:rStyle w:val="FootnoteReference"/>
          <w:rFonts w:cstheme="minorHAnsi"/>
          <w:sz w:val="22"/>
          <w:szCs w:val="22"/>
        </w:rPr>
        <w:footnoteReference w:id="112"/>
      </w:r>
      <w:r w:rsidR="00D678DD">
        <w:rPr>
          <w:rFonts w:cstheme="minorHAnsi"/>
          <w:sz w:val="22"/>
          <w:szCs w:val="22"/>
        </w:rPr>
        <w:t xml:space="preserve"> </w:t>
      </w:r>
      <w:r w:rsidR="00A771AF">
        <w:rPr>
          <w:rFonts w:cstheme="minorHAnsi"/>
          <w:sz w:val="22"/>
          <w:szCs w:val="22"/>
        </w:rPr>
        <w:t xml:space="preserve">But there’s a </w:t>
      </w:r>
      <w:r w:rsidR="003B1A4A">
        <w:rPr>
          <w:rFonts w:cstheme="minorHAnsi"/>
          <w:sz w:val="22"/>
          <w:szCs w:val="22"/>
        </w:rPr>
        <w:t xml:space="preserve">further </w:t>
      </w:r>
      <w:r w:rsidR="00FF6B6D">
        <w:rPr>
          <w:rFonts w:cstheme="minorHAnsi"/>
          <w:sz w:val="22"/>
          <w:szCs w:val="22"/>
        </w:rPr>
        <w:t>point</w:t>
      </w:r>
      <w:r w:rsidR="003B1A4A">
        <w:rPr>
          <w:rFonts w:cstheme="minorHAnsi"/>
          <w:sz w:val="22"/>
          <w:szCs w:val="22"/>
        </w:rPr>
        <w:t xml:space="preserve"> </w:t>
      </w:r>
      <w:r w:rsidR="00A771AF">
        <w:rPr>
          <w:rFonts w:cstheme="minorHAnsi"/>
          <w:sz w:val="22"/>
          <w:szCs w:val="22"/>
        </w:rPr>
        <w:t>here</w:t>
      </w:r>
      <w:r w:rsidR="004B3A3E">
        <w:rPr>
          <w:rFonts w:cstheme="minorHAnsi"/>
          <w:sz w:val="22"/>
          <w:szCs w:val="22"/>
        </w:rPr>
        <w:t>.</w:t>
      </w:r>
      <w:r w:rsidR="003B1A4A">
        <w:rPr>
          <w:rFonts w:cstheme="minorHAnsi"/>
          <w:sz w:val="22"/>
          <w:szCs w:val="22"/>
        </w:rPr>
        <w:t xml:space="preserve"> </w:t>
      </w:r>
      <w:r w:rsidR="009632EB">
        <w:rPr>
          <w:rFonts w:cstheme="minorHAnsi"/>
          <w:sz w:val="22"/>
          <w:szCs w:val="22"/>
        </w:rPr>
        <w:t xml:space="preserve">What we see in the </w:t>
      </w:r>
      <w:r w:rsidR="001404EF">
        <w:rPr>
          <w:rFonts w:cstheme="minorHAnsi"/>
          <w:sz w:val="22"/>
          <w:szCs w:val="22"/>
        </w:rPr>
        <w:t xml:space="preserve">debate leading up to the establishment of the Industrial Court is that </w:t>
      </w:r>
      <w:r w:rsidR="001404EF" w:rsidRPr="001404EF">
        <w:rPr>
          <w:rFonts w:cstheme="minorHAnsi"/>
          <w:i/>
          <w:iCs/>
          <w:sz w:val="22"/>
          <w:szCs w:val="22"/>
        </w:rPr>
        <w:t>a</w:t>
      </w:r>
      <w:r w:rsidR="003B1A4A" w:rsidRPr="001404EF">
        <w:rPr>
          <w:rFonts w:cstheme="minorHAnsi"/>
          <w:i/>
          <w:iCs/>
          <w:sz w:val="22"/>
          <w:szCs w:val="22"/>
        </w:rPr>
        <w:t>rguments</w:t>
      </w:r>
      <w:r w:rsidR="003B1A4A">
        <w:rPr>
          <w:rFonts w:cstheme="minorHAnsi"/>
          <w:sz w:val="22"/>
          <w:szCs w:val="22"/>
        </w:rPr>
        <w:t xml:space="preserve"> for the imposition of quotas matter</w:t>
      </w:r>
      <w:r w:rsidR="001404EF">
        <w:rPr>
          <w:rFonts w:cstheme="minorHAnsi"/>
          <w:sz w:val="22"/>
          <w:szCs w:val="22"/>
        </w:rPr>
        <w:t>. I</w:t>
      </w:r>
      <w:r w:rsidR="00AC2142">
        <w:rPr>
          <w:rFonts w:cstheme="minorHAnsi"/>
          <w:sz w:val="22"/>
          <w:szCs w:val="22"/>
        </w:rPr>
        <w:t xml:space="preserve">t </w:t>
      </w:r>
      <w:r w:rsidR="00F85F6D">
        <w:rPr>
          <w:rFonts w:cstheme="minorHAnsi"/>
          <w:sz w:val="22"/>
          <w:szCs w:val="22"/>
        </w:rPr>
        <w:t>matters which arguments</w:t>
      </w:r>
      <w:r w:rsidR="003B1A4A">
        <w:rPr>
          <w:rFonts w:cstheme="minorHAnsi"/>
          <w:sz w:val="22"/>
          <w:szCs w:val="22"/>
        </w:rPr>
        <w:t xml:space="preserve"> for quotas</w:t>
      </w:r>
      <w:r w:rsidR="00F85F6D">
        <w:rPr>
          <w:rFonts w:cstheme="minorHAnsi"/>
          <w:sz w:val="22"/>
          <w:szCs w:val="22"/>
        </w:rPr>
        <w:t xml:space="preserve"> are made. </w:t>
      </w:r>
      <w:r>
        <w:rPr>
          <w:rFonts w:cstheme="minorHAnsi"/>
          <w:sz w:val="22"/>
          <w:szCs w:val="22"/>
        </w:rPr>
        <w:t>It matters because</w:t>
      </w:r>
      <w:r w:rsidR="004B3A3E">
        <w:rPr>
          <w:rFonts w:cstheme="minorHAnsi"/>
          <w:sz w:val="22"/>
          <w:szCs w:val="22"/>
        </w:rPr>
        <w:t>, just as with arguments for diversity,</w:t>
      </w:r>
      <w:r w:rsidR="00F85F6D">
        <w:rPr>
          <w:rFonts w:cstheme="minorHAnsi"/>
          <w:sz w:val="22"/>
          <w:szCs w:val="22"/>
        </w:rPr>
        <w:t xml:space="preserve"> some arguments are more open</w:t>
      </w:r>
      <w:r>
        <w:rPr>
          <w:rFonts w:cstheme="minorHAnsi"/>
          <w:sz w:val="22"/>
          <w:szCs w:val="22"/>
        </w:rPr>
        <w:t xml:space="preserve"> – </w:t>
      </w:r>
      <w:r w:rsidR="001C382F">
        <w:rPr>
          <w:rFonts w:cstheme="minorHAnsi"/>
          <w:sz w:val="22"/>
          <w:szCs w:val="22"/>
        </w:rPr>
        <w:t>and others more</w:t>
      </w:r>
      <w:r>
        <w:rPr>
          <w:rFonts w:cstheme="minorHAnsi"/>
          <w:sz w:val="22"/>
          <w:szCs w:val="22"/>
        </w:rPr>
        <w:t xml:space="preserve"> resilient – </w:t>
      </w:r>
      <w:r w:rsidR="00F85F6D">
        <w:rPr>
          <w:rFonts w:cstheme="minorHAnsi"/>
          <w:sz w:val="22"/>
          <w:szCs w:val="22"/>
        </w:rPr>
        <w:t>to challenge than others.</w:t>
      </w:r>
      <w:r w:rsidR="00BE19C5">
        <w:rPr>
          <w:rFonts w:cstheme="minorHAnsi"/>
          <w:sz w:val="22"/>
          <w:szCs w:val="22"/>
        </w:rPr>
        <w:t xml:space="preserve"> </w:t>
      </w:r>
      <w:r w:rsidR="00FF6B6D">
        <w:rPr>
          <w:rFonts w:cstheme="minorHAnsi"/>
          <w:sz w:val="22"/>
          <w:szCs w:val="22"/>
        </w:rPr>
        <w:t xml:space="preserve">This is important. </w:t>
      </w:r>
      <w:r w:rsidR="0025727E">
        <w:rPr>
          <w:rFonts w:cstheme="minorHAnsi"/>
          <w:sz w:val="22"/>
          <w:szCs w:val="22"/>
        </w:rPr>
        <w:t xml:space="preserve">For there is a familiar sting in the tail of women’s representation on the Industrial Court. </w:t>
      </w:r>
    </w:p>
    <w:p w14:paraId="4DAC3A57" w14:textId="77777777" w:rsidR="004B3A3E" w:rsidRDefault="004B3A3E" w:rsidP="0030300E">
      <w:pPr>
        <w:spacing w:line="360" w:lineRule="auto"/>
        <w:rPr>
          <w:rFonts w:cstheme="minorHAnsi"/>
          <w:sz w:val="22"/>
          <w:szCs w:val="22"/>
        </w:rPr>
      </w:pPr>
    </w:p>
    <w:p w14:paraId="68801D0E" w14:textId="10B695E3" w:rsidR="00F17E52" w:rsidRDefault="00C601BF" w:rsidP="00DA4C68">
      <w:pPr>
        <w:spacing w:line="360" w:lineRule="auto"/>
        <w:rPr>
          <w:rFonts w:cstheme="minorHAnsi"/>
          <w:sz w:val="22"/>
          <w:szCs w:val="22"/>
        </w:rPr>
      </w:pPr>
      <w:r>
        <w:rPr>
          <w:rFonts w:cstheme="minorHAnsi"/>
          <w:sz w:val="22"/>
          <w:szCs w:val="22"/>
        </w:rPr>
        <w:t xml:space="preserve">By the time </w:t>
      </w:r>
      <w:r w:rsidR="00FF6B6D">
        <w:rPr>
          <w:rFonts w:cstheme="minorHAnsi"/>
          <w:sz w:val="22"/>
          <w:szCs w:val="22"/>
        </w:rPr>
        <w:t xml:space="preserve">Sir William </w:t>
      </w:r>
      <w:r w:rsidR="00EF7D9F">
        <w:rPr>
          <w:rFonts w:cstheme="minorHAnsi"/>
          <w:sz w:val="22"/>
          <w:szCs w:val="22"/>
        </w:rPr>
        <w:t>Mackenzie published</w:t>
      </w:r>
      <w:r w:rsidR="00A97A1E">
        <w:rPr>
          <w:rFonts w:cstheme="minorHAnsi"/>
          <w:sz w:val="22"/>
          <w:szCs w:val="22"/>
        </w:rPr>
        <w:t xml:space="preserve"> </w:t>
      </w:r>
      <w:r w:rsidR="00EF7D9F">
        <w:rPr>
          <w:rFonts w:cstheme="minorHAnsi"/>
          <w:sz w:val="22"/>
          <w:szCs w:val="22"/>
        </w:rPr>
        <w:t xml:space="preserve">his </w:t>
      </w:r>
      <w:r w:rsidRPr="00C601BF">
        <w:rPr>
          <w:rFonts w:cstheme="minorHAnsi"/>
          <w:sz w:val="22"/>
          <w:szCs w:val="22"/>
        </w:rPr>
        <w:t xml:space="preserve">account of the </w:t>
      </w:r>
      <w:r w:rsidR="00A02D7B">
        <w:rPr>
          <w:rFonts w:cstheme="minorHAnsi"/>
          <w:sz w:val="22"/>
          <w:szCs w:val="22"/>
        </w:rPr>
        <w:t xml:space="preserve">Industrial </w:t>
      </w:r>
      <w:r w:rsidR="00A97A1E">
        <w:rPr>
          <w:rFonts w:cstheme="minorHAnsi"/>
          <w:sz w:val="22"/>
          <w:szCs w:val="22"/>
        </w:rPr>
        <w:t xml:space="preserve">Court’s </w:t>
      </w:r>
      <w:r w:rsidRPr="00C601BF">
        <w:rPr>
          <w:rFonts w:cstheme="minorHAnsi"/>
          <w:sz w:val="22"/>
          <w:szCs w:val="22"/>
        </w:rPr>
        <w:t>early years</w:t>
      </w:r>
      <w:r w:rsidR="00A97A1E">
        <w:rPr>
          <w:rFonts w:cstheme="minorHAnsi"/>
          <w:sz w:val="22"/>
          <w:szCs w:val="22"/>
        </w:rPr>
        <w:t>,</w:t>
      </w:r>
      <w:r w:rsidR="00537FE2">
        <w:rPr>
          <w:rFonts w:cstheme="minorHAnsi"/>
          <w:sz w:val="22"/>
          <w:szCs w:val="22"/>
        </w:rPr>
        <w:t xml:space="preserve"> the</w:t>
      </w:r>
      <w:r w:rsidRPr="00C601BF">
        <w:rPr>
          <w:rFonts w:cstheme="minorHAnsi"/>
          <w:sz w:val="22"/>
          <w:szCs w:val="22"/>
        </w:rPr>
        <w:t xml:space="preserve"> </w:t>
      </w:r>
      <w:r w:rsidR="00580916">
        <w:rPr>
          <w:rFonts w:cstheme="minorHAnsi"/>
          <w:sz w:val="22"/>
          <w:szCs w:val="22"/>
        </w:rPr>
        <w:t xml:space="preserve">recognition of </w:t>
      </w:r>
      <w:r w:rsidR="00A97A1E">
        <w:rPr>
          <w:rFonts w:cstheme="minorHAnsi"/>
          <w:sz w:val="22"/>
          <w:szCs w:val="22"/>
        </w:rPr>
        <w:t xml:space="preserve">the existence and value </w:t>
      </w:r>
      <w:r w:rsidR="00580916">
        <w:rPr>
          <w:rFonts w:cstheme="minorHAnsi"/>
          <w:sz w:val="22"/>
          <w:szCs w:val="22"/>
        </w:rPr>
        <w:t xml:space="preserve">of women’s </w:t>
      </w:r>
      <w:r w:rsidRPr="00C601BF">
        <w:rPr>
          <w:rFonts w:cstheme="minorHAnsi"/>
          <w:sz w:val="22"/>
          <w:szCs w:val="22"/>
        </w:rPr>
        <w:t xml:space="preserve">‘special skills’ had begun to wane. </w:t>
      </w:r>
      <w:r w:rsidR="00140CDD">
        <w:rPr>
          <w:rFonts w:cstheme="minorHAnsi"/>
          <w:sz w:val="22"/>
          <w:szCs w:val="22"/>
        </w:rPr>
        <w:t>He</w:t>
      </w:r>
      <w:r w:rsidRPr="00C601BF">
        <w:rPr>
          <w:rFonts w:cstheme="minorHAnsi"/>
          <w:sz w:val="22"/>
          <w:szCs w:val="22"/>
        </w:rPr>
        <w:t xml:space="preserve"> not</w:t>
      </w:r>
      <w:r w:rsidR="00A16FAF">
        <w:rPr>
          <w:rFonts w:cstheme="minorHAnsi"/>
          <w:sz w:val="22"/>
          <w:szCs w:val="22"/>
        </w:rPr>
        <w:t>e</w:t>
      </w:r>
      <w:r w:rsidR="00140CDD">
        <w:rPr>
          <w:rFonts w:cstheme="minorHAnsi"/>
          <w:sz w:val="22"/>
          <w:szCs w:val="22"/>
        </w:rPr>
        <w:t>s</w:t>
      </w:r>
      <w:r w:rsidRPr="00C601BF">
        <w:rPr>
          <w:rFonts w:cstheme="minorHAnsi"/>
          <w:sz w:val="22"/>
          <w:szCs w:val="22"/>
        </w:rPr>
        <w:t xml:space="preserve"> in passing</w:t>
      </w:r>
      <w:r w:rsidR="00822D9C">
        <w:rPr>
          <w:rFonts w:cstheme="minorHAnsi"/>
          <w:sz w:val="22"/>
          <w:szCs w:val="22"/>
        </w:rPr>
        <w:t xml:space="preserve"> that ‘[</w:t>
      </w:r>
      <w:proofErr w:type="spellStart"/>
      <w:r w:rsidR="00822D9C">
        <w:rPr>
          <w:rFonts w:cstheme="minorHAnsi"/>
          <w:sz w:val="22"/>
          <w:szCs w:val="22"/>
        </w:rPr>
        <w:t>i</w:t>
      </w:r>
      <w:proofErr w:type="spellEnd"/>
      <w:r w:rsidR="00822D9C">
        <w:rPr>
          <w:rFonts w:cstheme="minorHAnsi"/>
          <w:sz w:val="22"/>
          <w:szCs w:val="22"/>
        </w:rPr>
        <w:t>]t was</w:t>
      </w:r>
      <w:r w:rsidRPr="00C601BF">
        <w:rPr>
          <w:rFonts w:cstheme="minorHAnsi"/>
          <w:sz w:val="22"/>
          <w:szCs w:val="22"/>
        </w:rPr>
        <w:t xml:space="preserve"> apparently thought in 1919</w:t>
      </w:r>
      <w:r w:rsidR="00F6033B">
        <w:rPr>
          <w:rFonts w:cstheme="minorHAnsi"/>
          <w:sz w:val="22"/>
          <w:szCs w:val="22"/>
        </w:rPr>
        <w:t xml:space="preserve"> </w:t>
      </w:r>
      <w:r w:rsidR="00822D9C">
        <w:rPr>
          <w:rFonts w:cstheme="minorHAnsi"/>
          <w:sz w:val="22"/>
          <w:szCs w:val="22"/>
        </w:rPr>
        <w:t xml:space="preserve">(though the contention would not go unchallenged now) </w:t>
      </w:r>
      <w:r w:rsidRPr="00C601BF">
        <w:rPr>
          <w:rFonts w:cstheme="minorHAnsi"/>
          <w:sz w:val="22"/>
          <w:szCs w:val="22"/>
        </w:rPr>
        <w:t>that a “woman’s” point of view was something separate and distinct which required special representation</w:t>
      </w:r>
      <w:r w:rsidR="00822D9C">
        <w:rPr>
          <w:rFonts w:cstheme="minorHAnsi"/>
          <w:sz w:val="22"/>
          <w:szCs w:val="22"/>
        </w:rPr>
        <w:t>’</w:t>
      </w:r>
      <w:r w:rsidRPr="00C601BF">
        <w:rPr>
          <w:rFonts w:cstheme="minorHAnsi"/>
          <w:sz w:val="22"/>
          <w:szCs w:val="22"/>
        </w:rPr>
        <w:t>.</w:t>
      </w:r>
      <w:r w:rsidR="00140CDD">
        <w:rPr>
          <w:rStyle w:val="FootnoteReference"/>
          <w:rFonts w:cstheme="minorHAnsi"/>
          <w:sz w:val="22"/>
          <w:szCs w:val="22"/>
        </w:rPr>
        <w:footnoteReference w:id="113"/>
      </w:r>
      <w:r>
        <w:rPr>
          <w:rFonts w:cstheme="minorHAnsi"/>
          <w:sz w:val="22"/>
          <w:szCs w:val="22"/>
        </w:rPr>
        <w:t xml:space="preserve"> </w:t>
      </w:r>
      <w:r w:rsidR="00140CDD">
        <w:rPr>
          <w:rFonts w:cstheme="minorHAnsi"/>
          <w:sz w:val="22"/>
          <w:szCs w:val="22"/>
        </w:rPr>
        <w:t xml:space="preserve"> </w:t>
      </w:r>
      <w:r w:rsidR="00F6033B">
        <w:rPr>
          <w:rFonts w:cstheme="minorHAnsi"/>
          <w:sz w:val="22"/>
          <w:szCs w:val="22"/>
        </w:rPr>
        <w:t xml:space="preserve">Fifty years later this view had hardened. </w:t>
      </w:r>
      <w:r w:rsidR="00580916">
        <w:rPr>
          <w:rFonts w:cstheme="minorHAnsi"/>
          <w:sz w:val="22"/>
          <w:szCs w:val="22"/>
        </w:rPr>
        <w:t>By</w:t>
      </w:r>
      <w:r>
        <w:rPr>
          <w:rFonts w:cstheme="minorHAnsi"/>
          <w:sz w:val="22"/>
          <w:szCs w:val="22"/>
        </w:rPr>
        <w:t xml:space="preserve"> the time the </w:t>
      </w:r>
      <w:r w:rsidR="00A7145C">
        <w:rPr>
          <w:rFonts w:cstheme="minorHAnsi"/>
          <w:sz w:val="22"/>
          <w:szCs w:val="22"/>
        </w:rPr>
        <w:t xml:space="preserve">composition </w:t>
      </w:r>
      <w:r>
        <w:rPr>
          <w:rFonts w:cstheme="minorHAnsi"/>
          <w:sz w:val="22"/>
          <w:szCs w:val="22"/>
        </w:rPr>
        <w:t>of the Industrial Court came before Parliament again in 1971</w:t>
      </w:r>
      <w:r w:rsidR="00FF6B6D">
        <w:rPr>
          <w:rFonts w:cstheme="minorHAnsi"/>
          <w:sz w:val="22"/>
          <w:szCs w:val="22"/>
        </w:rPr>
        <w:t>, the</w:t>
      </w:r>
      <w:r w:rsidR="004B3A3E">
        <w:rPr>
          <w:rFonts w:cstheme="minorHAnsi"/>
          <w:sz w:val="22"/>
          <w:szCs w:val="22"/>
        </w:rPr>
        <w:t xml:space="preserve"> focus of feminist campaigns began to shift from justice, citizenship and representation to issues relating to equality and autonomy</w:t>
      </w:r>
      <w:r w:rsidR="00FF6B6D">
        <w:rPr>
          <w:rFonts w:cstheme="minorHAnsi"/>
          <w:sz w:val="22"/>
          <w:szCs w:val="22"/>
        </w:rPr>
        <w:t>.</w:t>
      </w:r>
      <w:r w:rsidR="00DA4C68">
        <w:rPr>
          <w:rStyle w:val="FootnoteReference"/>
          <w:rFonts w:cstheme="minorHAnsi"/>
          <w:sz w:val="22"/>
          <w:szCs w:val="22"/>
        </w:rPr>
        <w:footnoteReference w:id="114"/>
      </w:r>
      <w:r w:rsidR="00FF6B6D">
        <w:rPr>
          <w:rFonts w:cstheme="minorHAnsi"/>
          <w:sz w:val="22"/>
          <w:szCs w:val="22"/>
        </w:rPr>
        <w:t xml:space="preserve"> </w:t>
      </w:r>
      <w:r w:rsidR="00AF7F71">
        <w:rPr>
          <w:rFonts w:cstheme="minorHAnsi"/>
          <w:sz w:val="22"/>
          <w:szCs w:val="22"/>
        </w:rPr>
        <w:t>So too in</w:t>
      </w:r>
      <w:r w:rsidR="00DA4C68">
        <w:rPr>
          <w:rFonts w:cstheme="minorHAnsi"/>
          <w:sz w:val="22"/>
          <w:szCs w:val="22"/>
        </w:rPr>
        <w:t xml:space="preserve"> parliament</w:t>
      </w:r>
      <w:r w:rsidR="004B3A3E">
        <w:rPr>
          <w:rFonts w:cstheme="minorHAnsi"/>
          <w:sz w:val="22"/>
          <w:szCs w:val="22"/>
        </w:rPr>
        <w:t xml:space="preserve"> where the language of </w:t>
      </w:r>
      <w:r w:rsidR="00E723E9">
        <w:rPr>
          <w:rFonts w:cstheme="minorHAnsi"/>
          <w:sz w:val="22"/>
          <w:szCs w:val="22"/>
        </w:rPr>
        <w:t xml:space="preserve">equality </w:t>
      </w:r>
      <w:r w:rsidR="004B3A3E">
        <w:rPr>
          <w:rFonts w:cstheme="minorHAnsi"/>
          <w:sz w:val="22"/>
          <w:szCs w:val="22"/>
        </w:rPr>
        <w:t xml:space="preserve">and </w:t>
      </w:r>
      <w:r w:rsidR="00AE5454">
        <w:rPr>
          <w:rFonts w:cstheme="minorHAnsi"/>
          <w:sz w:val="22"/>
          <w:szCs w:val="22"/>
        </w:rPr>
        <w:t>the</w:t>
      </w:r>
      <w:r w:rsidR="00AE5454" w:rsidRPr="007D2400">
        <w:rPr>
          <w:rFonts w:cstheme="minorHAnsi"/>
          <w:sz w:val="22"/>
          <w:szCs w:val="22"/>
        </w:rPr>
        <w:t xml:space="preserve"> </w:t>
      </w:r>
      <w:r w:rsidR="007D2400" w:rsidRPr="007D2400">
        <w:rPr>
          <w:rFonts w:cstheme="minorHAnsi"/>
          <w:sz w:val="22"/>
          <w:szCs w:val="22"/>
        </w:rPr>
        <w:t>spectre of ‘appointment on merit’, understood as attached exclusively to an individual, had entered the political fray</w:t>
      </w:r>
      <w:r w:rsidR="00580916">
        <w:rPr>
          <w:rFonts w:cstheme="minorHAnsi"/>
          <w:sz w:val="22"/>
          <w:szCs w:val="22"/>
        </w:rPr>
        <w:t>. The</w:t>
      </w:r>
      <w:r w:rsidR="00684D4C">
        <w:rPr>
          <w:rFonts w:cstheme="minorHAnsi"/>
          <w:sz w:val="22"/>
          <w:szCs w:val="22"/>
        </w:rPr>
        <w:t xml:space="preserve"> so-called</w:t>
      </w:r>
      <w:r w:rsidR="00580916">
        <w:rPr>
          <w:rFonts w:cstheme="minorHAnsi"/>
          <w:sz w:val="22"/>
          <w:szCs w:val="22"/>
        </w:rPr>
        <w:t xml:space="preserve"> </w:t>
      </w:r>
      <w:r>
        <w:rPr>
          <w:rFonts w:cstheme="minorHAnsi"/>
          <w:sz w:val="22"/>
          <w:szCs w:val="22"/>
        </w:rPr>
        <w:t>‘statutory woman’</w:t>
      </w:r>
      <w:r w:rsidR="00AE5454">
        <w:rPr>
          <w:rFonts w:cstheme="minorHAnsi"/>
          <w:sz w:val="22"/>
          <w:szCs w:val="22"/>
        </w:rPr>
        <w:t xml:space="preserve"> –</w:t>
      </w:r>
      <w:r w:rsidR="00684D4C">
        <w:rPr>
          <w:rFonts w:cstheme="minorHAnsi"/>
          <w:sz w:val="22"/>
          <w:szCs w:val="22"/>
        </w:rPr>
        <w:t xml:space="preserve"> that is </w:t>
      </w:r>
      <w:r w:rsidR="00AC2142">
        <w:rPr>
          <w:rFonts w:cstheme="minorHAnsi"/>
          <w:sz w:val="22"/>
          <w:szCs w:val="22"/>
        </w:rPr>
        <w:t>a statutory</w:t>
      </w:r>
      <w:r w:rsidR="00684D4C">
        <w:rPr>
          <w:rFonts w:cstheme="minorHAnsi"/>
          <w:sz w:val="22"/>
          <w:szCs w:val="22"/>
        </w:rPr>
        <w:t xml:space="preserve"> requirement</w:t>
      </w:r>
      <w:r w:rsidR="00AC2142">
        <w:rPr>
          <w:rFonts w:cstheme="minorHAnsi"/>
          <w:sz w:val="22"/>
          <w:szCs w:val="22"/>
        </w:rPr>
        <w:t xml:space="preserve"> </w:t>
      </w:r>
      <w:r w:rsidR="00684D4C">
        <w:rPr>
          <w:rFonts w:cstheme="minorHAnsi"/>
          <w:sz w:val="22"/>
          <w:szCs w:val="22"/>
        </w:rPr>
        <w:t>that one or more women be included in the membership of a given body</w:t>
      </w:r>
      <w:r w:rsidR="00AE5454">
        <w:rPr>
          <w:rFonts w:cstheme="minorHAnsi"/>
          <w:sz w:val="22"/>
          <w:szCs w:val="22"/>
        </w:rPr>
        <w:t xml:space="preserve"> –</w:t>
      </w:r>
      <w:r w:rsidR="00684D4C">
        <w:rPr>
          <w:rFonts w:cstheme="minorHAnsi"/>
          <w:sz w:val="22"/>
          <w:szCs w:val="22"/>
        </w:rPr>
        <w:t xml:space="preserve"> </w:t>
      </w:r>
      <w:r>
        <w:rPr>
          <w:rFonts w:cstheme="minorHAnsi"/>
          <w:sz w:val="22"/>
          <w:szCs w:val="22"/>
        </w:rPr>
        <w:t xml:space="preserve">was </w:t>
      </w:r>
      <w:r w:rsidR="00537FE2">
        <w:rPr>
          <w:rFonts w:cstheme="minorHAnsi"/>
          <w:sz w:val="22"/>
          <w:szCs w:val="22"/>
        </w:rPr>
        <w:t>one of its</w:t>
      </w:r>
      <w:r w:rsidR="007D2400">
        <w:rPr>
          <w:rFonts w:cstheme="minorHAnsi"/>
          <w:sz w:val="22"/>
          <w:szCs w:val="22"/>
        </w:rPr>
        <w:t xml:space="preserve"> first </w:t>
      </w:r>
      <w:r w:rsidR="00537FE2">
        <w:rPr>
          <w:rFonts w:cstheme="minorHAnsi"/>
          <w:sz w:val="22"/>
          <w:szCs w:val="22"/>
        </w:rPr>
        <w:t>casualties</w:t>
      </w:r>
      <w:r w:rsidR="007D2400">
        <w:rPr>
          <w:rFonts w:cstheme="minorHAnsi"/>
          <w:sz w:val="22"/>
          <w:szCs w:val="22"/>
        </w:rPr>
        <w:t>.</w:t>
      </w:r>
      <w:r w:rsidR="007D2400" w:rsidRPr="007D2400">
        <w:rPr>
          <w:rFonts w:cstheme="minorHAnsi"/>
          <w:sz w:val="22"/>
          <w:szCs w:val="22"/>
        </w:rPr>
        <w:t xml:space="preserve"> </w:t>
      </w:r>
      <w:r w:rsidR="00090429">
        <w:rPr>
          <w:rFonts w:cstheme="minorHAnsi"/>
          <w:sz w:val="22"/>
          <w:szCs w:val="22"/>
        </w:rPr>
        <w:t>During the Committee stage of the Industrial Relations Bill 1971 an</w:t>
      </w:r>
      <w:r w:rsidR="00664936">
        <w:rPr>
          <w:rFonts w:cstheme="minorHAnsi"/>
          <w:sz w:val="22"/>
          <w:szCs w:val="22"/>
        </w:rPr>
        <w:t xml:space="preserve"> amendment along the exact lines of Shaw’s in 1919 was proposed </w:t>
      </w:r>
      <w:r w:rsidR="00AE5454">
        <w:rPr>
          <w:rFonts w:cstheme="minorHAnsi"/>
          <w:sz w:val="22"/>
          <w:szCs w:val="22"/>
        </w:rPr>
        <w:t xml:space="preserve">by </w:t>
      </w:r>
      <w:r w:rsidR="00487E5B">
        <w:rPr>
          <w:rFonts w:cstheme="minorHAnsi"/>
          <w:sz w:val="22"/>
          <w:szCs w:val="22"/>
        </w:rPr>
        <w:t>Labour Peer</w:t>
      </w:r>
      <w:r w:rsidR="00AD3749">
        <w:rPr>
          <w:rFonts w:cstheme="minorHAnsi"/>
          <w:sz w:val="22"/>
          <w:szCs w:val="22"/>
        </w:rPr>
        <w:t>,</w:t>
      </w:r>
      <w:r w:rsidR="00487E5B">
        <w:rPr>
          <w:rFonts w:cstheme="minorHAnsi"/>
          <w:sz w:val="22"/>
          <w:szCs w:val="22"/>
        </w:rPr>
        <w:t xml:space="preserve"> </w:t>
      </w:r>
      <w:r w:rsidR="00664936">
        <w:rPr>
          <w:rFonts w:cstheme="minorHAnsi"/>
          <w:sz w:val="22"/>
          <w:szCs w:val="22"/>
        </w:rPr>
        <w:t>Lord Diamond and supported by Lord Janner</w:t>
      </w:r>
      <w:r w:rsidR="00487E5B">
        <w:rPr>
          <w:rFonts w:cstheme="minorHAnsi"/>
          <w:sz w:val="22"/>
          <w:szCs w:val="22"/>
        </w:rPr>
        <w:t>, also a Labour Peer</w:t>
      </w:r>
      <w:r w:rsidR="00664936">
        <w:rPr>
          <w:rFonts w:cstheme="minorHAnsi"/>
          <w:sz w:val="22"/>
          <w:szCs w:val="22"/>
        </w:rPr>
        <w:t>.</w:t>
      </w:r>
      <w:r w:rsidR="00664936">
        <w:rPr>
          <w:rStyle w:val="FootnoteReference"/>
          <w:rFonts w:cstheme="minorHAnsi"/>
          <w:sz w:val="22"/>
          <w:szCs w:val="22"/>
        </w:rPr>
        <w:footnoteReference w:id="115"/>
      </w:r>
      <w:r w:rsidR="00664936">
        <w:rPr>
          <w:rFonts w:cstheme="minorHAnsi"/>
          <w:sz w:val="22"/>
          <w:szCs w:val="22"/>
        </w:rPr>
        <w:t xml:space="preserve"> </w:t>
      </w:r>
      <w:r w:rsidR="00AC2142">
        <w:rPr>
          <w:rFonts w:cstheme="minorHAnsi"/>
          <w:sz w:val="22"/>
          <w:szCs w:val="22"/>
        </w:rPr>
        <w:t xml:space="preserve">Their </w:t>
      </w:r>
      <w:r w:rsidR="00FF6B6D">
        <w:rPr>
          <w:rFonts w:cstheme="minorHAnsi"/>
          <w:sz w:val="22"/>
          <w:szCs w:val="22"/>
        </w:rPr>
        <w:t xml:space="preserve">arguments </w:t>
      </w:r>
      <w:r w:rsidR="004057DE">
        <w:rPr>
          <w:rFonts w:cstheme="minorHAnsi"/>
          <w:sz w:val="22"/>
          <w:szCs w:val="22"/>
        </w:rPr>
        <w:t>echoed</w:t>
      </w:r>
      <w:r w:rsidR="00F17E52">
        <w:rPr>
          <w:rFonts w:cstheme="minorHAnsi"/>
          <w:sz w:val="22"/>
          <w:szCs w:val="22"/>
        </w:rPr>
        <w:t xml:space="preserve"> those of Shaw and others</w:t>
      </w:r>
      <w:r w:rsidR="001404EF">
        <w:rPr>
          <w:rFonts w:cstheme="minorHAnsi"/>
          <w:sz w:val="22"/>
          <w:szCs w:val="22"/>
        </w:rPr>
        <w:t>,</w:t>
      </w:r>
      <w:r w:rsidR="00060A2F">
        <w:rPr>
          <w:rFonts w:cstheme="minorHAnsi"/>
          <w:sz w:val="22"/>
          <w:szCs w:val="22"/>
        </w:rPr>
        <w:t xml:space="preserve"> </w:t>
      </w:r>
      <w:r w:rsidR="00F17E52">
        <w:rPr>
          <w:rFonts w:cstheme="minorHAnsi"/>
          <w:sz w:val="22"/>
          <w:szCs w:val="22"/>
        </w:rPr>
        <w:t xml:space="preserve">Lord Diamond </w:t>
      </w:r>
      <w:r w:rsidR="001404EF">
        <w:rPr>
          <w:rFonts w:cstheme="minorHAnsi"/>
          <w:sz w:val="22"/>
          <w:szCs w:val="22"/>
        </w:rPr>
        <w:t>suggesting</w:t>
      </w:r>
      <w:r w:rsidR="00AC2142">
        <w:rPr>
          <w:rFonts w:cstheme="minorHAnsi"/>
          <w:sz w:val="22"/>
          <w:szCs w:val="22"/>
        </w:rPr>
        <w:t xml:space="preserve"> </w:t>
      </w:r>
      <w:proofErr w:type="gramStart"/>
      <w:r w:rsidR="00AC2142">
        <w:rPr>
          <w:rFonts w:cstheme="minorHAnsi"/>
          <w:sz w:val="22"/>
          <w:szCs w:val="22"/>
        </w:rPr>
        <w:t>that</w:t>
      </w:r>
      <w:proofErr w:type="gramEnd"/>
    </w:p>
    <w:p w14:paraId="6D3F1C9F" w14:textId="69D0B327" w:rsidR="00F17E52" w:rsidRDefault="00F17E52" w:rsidP="00F17E52">
      <w:pPr>
        <w:spacing w:line="360" w:lineRule="auto"/>
        <w:ind w:left="720"/>
        <w:rPr>
          <w:rFonts w:cstheme="minorHAnsi"/>
          <w:sz w:val="22"/>
          <w:szCs w:val="22"/>
        </w:rPr>
      </w:pPr>
      <w:r>
        <w:rPr>
          <w:rFonts w:cstheme="minorHAnsi"/>
          <w:sz w:val="22"/>
          <w:szCs w:val="22"/>
        </w:rPr>
        <w:lastRenderedPageBreak/>
        <w:t>[</w:t>
      </w:r>
      <w:proofErr w:type="spellStart"/>
      <w:r>
        <w:rPr>
          <w:rFonts w:cstheme="minorHAnsi"/>
          <w:sz w:val="22"/>
          <w:szCs w:val="22"/>
        </w:rPr>
        <w:t>i</w:t>
      </w:r>
      <w:proofErr w:type="spellEnd"/>
      <w:r>
        <w:rPr>
          <w:rFonts w:cstheme="minorHAnsi"/>
          <w:sz w:val="22"/>
          <w:szCs w:val="22"/>
        </w:rPr>
        <w:t>]</w:t>
      </w:r>
      <w:r w:rsidRPr="00F17E52">
        <w:rPr>
          <w:rFonts w:cstheme="minorHAnsi"/>
          <w:sz w:val="22"/>
          <w:szCs w:val="22"/>
        </w:rPr>
        <w:t>t is quite absurd to think that justice can be felt to be done and seen to be done where a</w:t>
      </w:r>
      <w:r>
        <w:rPr>
          <w:rFonts w:cstheme="minorHAnsi"/>
          <w:sz w:val="22"/>
          <w:szCs w:val="22"/>
        </w:rPr>
        <w:t xml:space="preserve"> </w:t>
      </w:r>
      <w:r w:rsidRPr="00F17E52">
        <w:rPr>
          <w:rFonts w:cstheme="minorHAnsi"/>
          <w:sz w:val="22"/>
          <w:szCs w:val="22"/>
        </w:rPr>
        <w:t>substantial proportion of those appearing before the court inevitably will be women if those</w:t>
      </w:r>
      <w:r>
        <w:rPr>
          <w:rFonts w:cstheme="minorHAnsi"/>
          <w:sz w:val="22"/>
          <w:szCs w:val="22"/>
        </w:rPr>
        <w:t xml:space="preserve"> </w:t>
      </w:r>
      <w:r w:rsidRPr="00F17E52">
        <w:rPr>
          <w:rFonts w:cstheme="minorHAnsi"/>
          <w:sz w:val="22"/>
          <w:szCs w:val="22"/>
        </w:rPr>
        <w:t>making the decisions and serving justice will exclusively be men.</w:t>
      </w:r>
      <w:r>
        <w:rPr>
          <w:rStyle w:val="FootnoteReference"/>
          <w:rFonts w:cstheme="minorHAnsi"/>
          <w:sz w:val="22"/>
          <w:szCs w:val="22"/>
        </w:rPr>
        <w:footnoteReference w:id="116"/>
      </w:r>
      <w:r w:rsidRPr="00F17E52">
        <w:rPr>
          <w:rFonts w:cstheme="minorHAnsi"/>
          <w:sz w:val="22"/>
          <w:szCs w:val="22"/>
        </w:rPr>
        <w:t xml:space="preserve"> </w:t>
      </w:r>
    </w:p>
    <w:p w14:paraId="13EABE0E" w14:textId="3A69FEDB" w:rsidR="004057DE" w:rsidRDefault="00060A2F" w:rsidP="0030300E">
      <w:pPr>
        <w:spacing w:line="360" w:lineRule="auto"/>
        <w:rPr>
          <w:rFonts w:cstheme="minorHAnsi"/>
          <w:sz w:val="22"/>
          <w:szCs w:val="22"/>
        </w:rPr>
      </w:pPr>
      <w:r>
        <w:rPr>
          <w:rFonts w:cstheme="minorHAnsi"/>
          <w:sz w:val="22"/>
          <w:szCs w:val="22"/>
        </w:rPr>
        <w:t>L</w:t>
      </w:r>
      <w:r w:rsidR="00F361AC">
        <w:rPr>
          <w:rFonts w:cstheme="minorHAnsi"/>
          <w:sz w:val="22"/>
          <w:szCs w:val="22"/>
        </w:rPr>
        <w:t>ord Janner</w:t>
      </w:r>
      <w:r w:rsidR="002D24B7">
        <w:rPr>
          <w:rFonts w:cstheme="minorHAnsi"/>
          <w:sz w:val="22"/>
          <w:szCs w:val="22"/>
        </w:rPr>
        <w:t xml:space="preserve"> adopted the arguments of Hills MP, </w:t>
      </w:r>
      <w:r w:rsidR="00F361AC">
        <w:rPr>
          <w:rFonts w:cstheme="minorHAnsi"/>
          <w:sz w:val="22"/>
          <w:szCs w:val="22"/>
        </w:rPr>
        <w:t>point</w:t>
      </w:r>
      <w:r w:rsidR="002D24B7">
        <w:rPr>
          <w:rFonts w:cstheme="minorHAnsi"/>
          <w:sz w:val="22"/>
          <w:szCs w:val="22"/>
        </w:rPr>
        <w:t>ing</w:t>
      </w:r>
      <w:r w:rsidR="00F361AC">
        <w:rPr>
          <w:rFonts w:cstheme="minorHAnsi"/>
          <w:sz w:val="22"/>
          <w:szCs w:val="22"/>
        </w:rPr>
        <w:t xml:space="preserve"> to</w:t>
      </w:r>
      <w:r w:rsidR="00090429">
        <w:rPr>
          <w:rFonts w:cstheme="minorHAnsi"/>
          <w:sz w:val="22"/>
          <w:szCs w:val="22"/>
        </w:rPr>
        <w:t xml:space="preserve"> the</w:t>
      </w:r>
      <w:r w:rsidR="00F361AC">
        <w:rPr>
          <w:rFonts w:cstheme="minorHAnsi"/>
          <w:sz w:val="22"/>
          <w:szCs w:val="22"/>
        </w:rPr>
        <w:t xml:space="preserve"> ‘considerable benefit’ women’s</w:t>
      </w:r>
      <w:r w:rsidR="00F361AC" w:rsidRPr="007D2400">
        <w:rPr>
          <w:rFonts w:cstheme="minorHAnsi"/>
          <w:sz w:val="22"/>
          <w:szCs w:val="22"/>
        </w:rPr>
        <w:t xml:space="preserve"> particular knowledge and experiences </w:t>
      </w:r>
      <w:r w:rsidR="00F361AC">
        <w:rPr>
          <w:rFonts w:cstheme="minorHAnsi"/>
          <w:sz w:val="22"/>
          <w:szCs w:val="22"/>
        </w:rPr>
        <w:t>had, and would continue to have, on the</w:t>
      </w:r>
      <w:r w:rsidR="00F361AC" w:rsidRPr="007D2400">
        <w:rPr>
          <w:rFonts w:cstheme="minorHAnsi"/>
          <w:sz w:val="22"/>
          <w:szCs w:val="22"/>
        </w:rPr>
        <w:t xml:space="preserve"> deliberations</w:t>
      </w:r>
      <w:r w:rsidR="00F361AC">
        <w:rPr>
          <w:rFonts w:cstheme="minorHAnsi"/>
          <w:sz w:val="22"/>
          <w:szCs w:val="22"/>
        </w:rPr>
        <w:t xml:space="preserve"> of the court.</w:t>
      </w:r>
      <w:r w:rsidR="00F361AC">
        <w:rPr>
          <w:rStyle w:val="FootnoteReference"/>
          <w:rFonts w:cstheme="minorHAnsi"/>
          <w:sz w:val="22"/>
          <w:szCs w:val="22"/>
        </w:rPr>
        <w:footnoteReference w:id="117"/>
      </w:r>
      <w:r w:rsidR="00822D9C">
        <w:rPr>
          <w:rFonts w:cstheme="minorHAnsi"/>
          <w:sz w:val="22"/>
          <w:szCs w:val="22"/>
        </w:rPr>
        <w:t xml:space="preserve"> </w:t>
      </w:r>
    </w:p>
    <w:p w14:paraId="58AFA9D5" w14:textId="77777777" w:rsidR="004057DE" w:rsidRDefault="004057DE" w:rsidP="0030300E">
      <w:pPr>
        <w:spacing w:line="360" w:lineRule="auto"/>
        <w:rPr>
          <w:rFonts w:cstheme="minorHAnsi"/>
          <w:sz w:val="22"/>
          <w:szCs w:val="22"/>
        </w:rPr>
      </w:pPr>
    </w:p>
    <w:p w14:paraId="4AA8B594" w14:textId="7132E376" w:rsidR="004057DE" w:rsidRDefault="00822D9C" w:rsidP="0030300E">
      <w:pPr>
        <w:spacing w:line="360" w:lineRule="auto"/>
        <w:rPr>
          <w:rFonts w:cstheme="minorHAnsi"/>
          <w:sz w:val="22"/>
          <w:szCs w:val="22"/>
        </w:rPr>
      </w:pPr>
      <w:r>
        <w:rPr>
          <w:rFonts w:cstheme="minorHAnsi"/>
          <w:sz w:val="22"/>
          <w:szCs w:val="22"/>
        </w:rPr>
        <w:t>However</w:t>
      </w:r>
      <w:r w:rsidR="00090429">
        <w:rPr>
          <w:rFonts w:cstheme="minorHAnsi"/>
          <w:sz w:val="22"/>
          <w:szCs w:val="22"/>
        </w:rPr>
        <w:t xml:space="preserve">, </w:t>
      </w:r>
      <w:r w:rsidR="004057DE">
        <w:rPr>
          <w:rFonts w:cstheme="minorHAnsi"/>
          <w:sz w:val="22"/>
          <w:szCs w:val="22"/>
        </w:rPr>
        <w:t xml:space="preserve">the weight of opinion was firmly against the </w:t>
      </w:r>
      <w:r w:rsidR="00F361AC">
        <w:rPr>
          <w:rFonts w:cstheme="minorHAnsi"/>
          <w:sz w:val="22"/>
          <w:szCs w:val="22"/>
        </w:rPr>
        <w:t>amendment.</w:t>
      </w:r>
      <w:r w:rsidR="004057DE">
        <w:rPr>
          <w:rFonts w:cstheme="minorHAnsi"/>
          <w:sz w:val="22"/>
          <w:szCs w:val="22"/>
        </w:rPr>
        <w:t xml:space="preserve"> M</w:t>
      </w:r>
      <w:r w:rsidR="00DD33CE">
        <w:rPr>
          <w:rFonts w:cstheme="minorHAnsi"/>
          <w:sz w:val="22"/>
          <w:szCs w:val="22"/>
        </w:rPr>
        <w:t>embers</w:t>
      </w:r>
      <w:r w:rsidR="00D25590">
        <w:rPr>
          <w:rFonts w:cstheme="minorHAnsi"/>
          <w:sz w:val="22"/>
          <w:szCs w:val="22"/>
        </w:rPr>
        <w:t xml:space="preserve"> from both sides of the Chamber </w:t>
      </w:r>
      <w:r w:rsidR="00D25590" w:rsidRPr="00AC2142">
        <w:rPr>
          <w:rFonts w:cstheme="minorHAnsi"/>
          <w:sz w:val="22"/>
          <w:szCs w:val="22"/>
        </w:rPr>
        <w:t xml:space="preserve">spoke against it, including </w:t>
      </w:r>
      <w:r w:rsidR="00AC2142" w:rsidRPr="00AC2142">
        <w:rPr>
          <w:rFonts w:cstheme="minorHAnsi"/>
          <w:sz w:val="22"/>
          <w:szCs w:val="22"/>
        </w:rPr>
        <w:t xml:space="preserve">for the first time </w:t>
      </w:r>
      <w:r w:rsidR="00D25590" w:rsidRPr="00AC2142">
        <w:rPr>
          <w:rFonts w:cstheme="minorHAnsi"/>
          <w:sz w:val="22"/>
          <w:szCs w:val="22"/>
        </w:rPr>
        <w:t xml:space="preserve">– </w:t>
      </w:r>
      <w:r w:rsidR="00AC2142" w:rsidRPr="00AC2142">
        <w:rPr>
          <w:rFonts w:cstheme="minorHAnsi"/>
          <w:sz w:val="22"/>
          <w:szCs w:val="22"/>
        </w:rPr>
        <w:t>following the enactment of the Life Peerages Act 1968</w:t>
      </w:r>
      <w:r w:rsidR="00AC2142">
        <w:rPr>
          <w:rFonts w:cstheme="minorHAnsi"/>
          <w:sz w:val="22"/>
          <w:szCs w:val="22"/>
        </w:rPr>
        <w:t xml:space="preserve"> </w:t>
      </w:r>
      <w:r w:rsidR="00D25590" w:rsidRPr="00AC2142">
        <w:rPr>
          <w:rFonts w:cstheme="minorHAnsi"/>
          <w:sz w:val="22"/>
          <w:szCs w:val="22"/>
        </w:rPr>
        <w:t xml:space="preserve">– a </w:t>
      </w:r>
      <w:r w:rsidRPr="00AC2142">
        <w:rPr>
          <w:rFonts w:cstheme="minorHAnsi"/>
          <w:sz w:val="22"/>
          <w:szCs w:val="22"/>
        </w:rPr>
        <w:t>woman</w:t>
      </w:r>
      <w:r w:rsidR="00090429" w:rsidRPr="00AC2142">
        <w:rPr>
          <w:rFonts w:cstheme="minorHAnsi"/>
          <w:sz w:val="22"/>
          <w:szCs w:val="22"/>
        </w:rPr>
        <w:t>:</w:t>
      </w:r>
      <w:r w:rsidR="00487E5B">
        <w:rPr>
          <w:rFonts w:cstheme="minorHAnsi"/>
          <w:sz w:val="22"/>
          <w:szCs w:val="22"/>
        </w:rPr>
        <w:t xml:space="preserve"> </w:t>
      </w:r>
      <w:r w:rsidR="000C65F8" w:rsidRPr="00AC2142">
        <w:rPr>
          <w:rFonts w:cstheme="minorHAnsi"/>
          <w:sz w:val="22"/>
          <w:szCs w:val="22"/>
        </w:rPr>
        <w:t>Baroness Emmet</w:t>
      </w:r>
      <w:r w:rsidR="00487E5B">
        <w:rPr>
          <w:rFonts w:cstheme="minorHAnsi"/>
          <w:sz w:val="22"/>
          <w:szCs w:val="22"/>
        </w:rPr>
        <w:t>, a Conservative Peer</w:t>
      </w:r>
      <w:r w:rsidR="00D25590" w:rsidRPr="00AC2142">
        <w:rPr>
          <w:rFonts w:cstheme="minorHAnsi"/>
          <w:sz w:val="22"/>
          <w:szCs w:val="22"/>
        </w:rPr>
        <w:t xml:space="preserve">. </w:t>
      </w:r>
      <w:r w:rsidR="00F6033B" w:rsidRPr="00AC2142">
        <w:rPr>
          <w:rFonts w:cstheme="minorHAnsi"/>
          <w:sz w:val="22"/>
          <w:szCs w:val="22"/>
        </w:rPr>
        <w:t xml:space="preserve">The arguments will be familiar. </w:t>
      </w:r>
      <w:r w:rsidR="004057DE" w:rsidRPr="00AC2142">
        <w:rPr>
          <w:rFonts w:cstheme="minorHAnsi"/>
          <w:sz w:val="22"/>
          <w:szCs w:val="22"/>
        </w:rPr>
        <w:t>Far from underpinning the Industrial Court’s institutional</w:t>
      </w:r>
      <w:r w:rsidR="004057DE" w:rsidRPr="007D2400">
        <w:rPr>
          <w:rFonts w:cstheme="minorHAnsi"/>
          <w:sz w:val="22"/>
          <w:szCs w:val="22"/>
        </w:rPr>
        <w:t xml:space="preserve"> integrity, </w:t>
      </w:r>
      <w:r w:rsidR="004057DE">
        <w:rPr>
          <w:rFonts w:cstheme="minorHAnsi"/>
          <w:sz w:val="22"/>
          <w:szCs w:val="22"/>
        </w:rPr>
        <w:t xml:space="preserve">and </w:t>
      </w:r>
      <w:r w:rsidR="004057DE" w:rsidRPr="007D2400">
        <w:rPr>
          <w:rFonts w:cstheme="minorHAnsi"/>
          <w:sz w:val="22"/>
          <w:szCs w:val="22"/>
        </w:rPr>
        <w:t>the ability of the Court to do the best job possible,</w:t>
      </w:r>
      <w:r w:rsidR="004057DE">
        <w:rPr>
          <w:rFonts w:cstheme="minorHAnsi"/>
          <w:sz w:val="22"/>
          <w:szCs w:val="22"/>
        </w:rPr>
        <w:t xml:space="preserve"> the </w:t>
      </w:r>
      <w:r w:rsidR="007D2400">
        <w:rPr>
          <w:rFonts w:cstheme="minorHAnsi"/>
          <w:sz w:val="22"/>
          <w:szCs w:val="22"/>
        </w:rPr>
        <w:t>statutory</w:t>
      </w:r>
      <w:r w:rsidR="00580916">
        <w:rPr>
          <w:rFonts w:cstheme="minorHAnsi"/>
          <w:sz w:val="22"/>
          <w:szCs w:val="22"/>
        </w:rPr>
        <w:t>-</w:t>
      </w:r>
      <w:r w:rsidR="007D2400">
        <w:rPr>
          <w:rFonts w:cstheme="minorHAnsi"/>
          <w:sz w:val="22"/>
          <w:szCs w:val="22"/>
        </w:rPr>
        <w:t>requir</w:t>
      </w:r>
      <w:r w:rsidR="00580916">
        <w:rPr>
          <w:rFonts w:cstheme="minorHAnsi"/>
          <w:sz w:val="22"/>
          <w:szCs w:val="22"/>
        </w:rPr>
        <w:t>ement of</w:t>
      </w:r>
      <w:r w:rsidR="007D2400">
        <w:rPr>
          <w:rFonts w:cstheme="minorHAnsi"/>
          <w:sz w:val="22"/>
          <w:szCs w:val="22"/>
        </w:rPr>
        <w:t xml:space="preserve"> representation </w:t>
      </w:r>
      <w:r w:rsidR="007D2400" w:rsidRPr="007D2400">
        <w:rPr>
          <w:rFonts w:cstheme="minorHAnsi"/>
          <w:sz w:val="22"/>
          <w:szCs w:val="22"/>
        </w:rPr>
        <w:t>was recast</w:t>
      </w:r>
      <w:r w:rsidR="005B58D4">
        <w:rPr>
          <w:rFonts w:cstheme="minorHAnsi"/>
          <w:sz w:val="22"/>
          <w:szCs w:val="22"/>
        </w:rPr>
        <w:t xml:space="preserve">, </w:t>
      </w:r>
      <w:r w:rsidR="007D2400">
        <w:rPr>
          <w:rFonts w:cstheme="minorHAnsi"/>
          <w:sz w:val="22"/>
          <w:szCs w:val="22"/>
        </w:rPr>
        <w:t xml:space="preserve">in the words of </w:t>
      </w:r>
      <w:r w:rsidR="00487E5B">
        <w:rPr>
          <w:rFonts w:cstheme="minorHAnsi"/>
          <w:sz w:val="22"/>
          <w:szCs w:val="22"/>
        </w:rPr>
        <w:t xml:space="preserve">former barrister </w:t>
      </w:r>
      <w:r w:rsidR="007D2400">
        <w:rPr>
          <w:rFonts w:cstheme="minorHAnsi"/>
          <w:sz w:val="22"/>
          <w:szCs w:val="22"/>
        </w:rPr>
        <w:t xml:space="preserve">Lord </w:t>
      </w:r>
      <w:proofErr w:type="spellStart"/>
      <w:r w:rsidR="007D2400">
        <w:rPr>
          <w:rFonts w:cstheme="minorHAnsi"/>
          <w:sz w:val="22"/>
          <w:szCs w:val="22"/>
        </w:rPr>
        <w:t>Conesford</w:t>
      </w:r>
      <w:proofErr w:type="spellEnd"/>
      <w:r w:rsidR="007D2400">
        <w:rPr>
          <w:rFonts w:cstheme="minorHAnsi"/>
          <w:sz w:val="22"/>
          <w:szCs w:val="22"/>
        </w:rPr>
        <w:t xml:space="preserve"> (a</w:t>
      </w:r>
      <w:r w:rsidR="00487E5B">
        <w:rPr>
          <w:rFonts w:cstheme="minorHAnsi"/>
          <w:sz w:val="22"/>
          <w:szCs w:val="22"/>
        </w:rPr>
        <w:t xml:space="preserve"> member of the Conservative Party and a</w:t>
      </w:r>
      <w:r w:rsidR="007D2400">
        <w:rPr>
          <w:rFonts w:cstheme="minorHAnsi"/>
          <w:sz w:val="22"/>
          <w:szCs w:val="22"/>
        </w:rPr>
        <w:t xml:space="preserve"> long-term opponent of such measures)</w:t>
      </w:r>
      <w:r w:rsidR="005B58D4">
        <w:rPr>
          <w:rFonts w:cstheme="minorHAnsi"/>
          <w:sz w:val="22"/>
          <w:szCs w:val="22"/>
        </w:rPr>
        <w:t xml:space="preserve"> as</w:t>
      </w:r>
      <w:r w:rsidR="007D2400">
        <w:rPr>
          <w:rFonts w:cstheme="minorHAnsi"/>
          <w:sz w:val="22"/>
          <w:szCs w:val="22"/>
        </w:rPr>
        <w:t xml:space="preserve"> </w:t>
      </w:r>
      <w:r w:rsidR="007D2400" w:rsidRPr="007D2400">
        <w:rPr>
          <w:rFonts w:cstheme="minorHAnsi"/>
          <w:sz w:val="22"/>
          <w:szCs w:val="22"/>
        </w:rPr>
        <w:t>‘insulting’</w:t>
      </w:r>
      <w:r w:rsidR="00F6033B">
        <w:rPr>
          <w:rFonts w:cstheme="minorHAnsi"/>
          <w:sz w:val="22"/>
          <w:szCs w:val="22"/>
        </w:rPr>
        <w:t xml:space="preserve"> to women</w:t>
      </w:r>
      <w:r>
        <w:rPr>
          <w:rFonts w:cstheme="minorHAnsi"/>
          <w:sz w:val="22"/>
          <w:szCs w:val="22"/>
        </w:rPr>
        <w:t>.</w:t>
      </w:r>
      <w:r w:rsidR="00664936">
        <w:rPr>
          <w:rStyle w:val="FootnoteReference"/>
          <w:rFonts w:cstheme="minorHAnsi"/>
          <w:sz w:val="22"/>
          <w:szCs w:val="22"/>
        </w:rPr>
        <w:footnoteReference w:id="118"/>
      </w:r>
      <w:r>
        <w:rPr>
          <w:rFonts w:cstheme="minorHAnsi"/>
          <w:sz w:val="22"/>
          <w:szCs w:val="22"/>
        </w:rPr>
        <w:t xml:space="preserve"> </w:t>
      </w:r>
      <w:r w:rsidR="004057DE">
        <w:rPr>
          <w:rFonts w:cstheme="minorHAnsi"/>
          <w:sz w:val="22"/>
          <w:szCs w:val="22"/>
        </w:rPr>
        <w:t>(</w:t>
      </w:r>
      <w:r>
        <w:rPr>
          <w:rFonts w:cstheme="minorHAnsi"/>
          <w:sz w:val="22"/>
          <w:szCs w:val="22"/>
        </w:rPr>
        <w:t>T</w:t>
      </w:r>
      <w:r w:rsidR="007D2400">
        <w:rPr>
          <w:rFonts w:cstheme="minorHAnsi"/>
          <w:sz w:val="22"/>
          <w:szCs w:val="22"/>
        </w:rPr>
        <w:t>hough</w:t>
      </w:r>
      <w:r w:rsidR="009F43FE">
        <w:rPr>
          <w:rFonts w:cstheme="minorHAnsi"/>
          <w:sz w:val="22"/>
          <w:szCs w:val="22"/>
        </w:rPr>
        <w:t xml:space="preserve"> </w:t>
      </w:r>
      <w:r w:rsidR="00664936">
        <w:rPr>
          <w:rFonts w:cstheme="minorHAnsi"/>
          <w:sz w:val="22"/>
          <w:szCs w:val="22"/>
        </w:rPr>
        <w:t>he</w:t>
      </w:r>
      <w:r w:rsidR="00F6033B">
        <w:rPr>
          <w:rFonts w:cstheme="minorHAnsi"/>
          <w:sz w:val="22"/>
          <w:szCs w:val="22"/>
        </w:rPr>
        <w:t xml:space="preserve"> </w:t>
      </w:r>
      <w:r w:rsidR="007D2400">
        <w:rPr>
          <w:rFonts w:cstheme="minorHAnsi"/>
          <w:sz w:val="22"/>
          <w:szCs w:val="22"/>
        </w:rPr>
        <w:t xml:space="preserve">was </w:t>
      </w:r>
      <w:r w:rsidR="002609A3">
        <w:rPr>
          <w:rFonts w:cstheme="minorHAnsi"/>
          <w:sz w:val="22"/>
          <w:szCs w:val="22"/>
        </w:rPr>
        <w:t xml:space="preserve">not </w:t>
      </w:r>
      <w:r w:rsidR="007D2400" w:rsidRPr="007D2400">
        <w:rPr>
          <w:rFonts w:cstheme="minorHAnsi"/>
          <w:sz w:val="22"/>
          <w:szCs w:val="22"/>
        </w:rPr>
        <w:t>averse to a compromise whereby the statutory woman was joined ‘in the interests of sex equality’ by ‘a statutory man’, to counter the clearly non-existent</w:t>
      </w:r>
      <w:r w:rsidR="00AC2142">
        <w:rPr>
          <w:rFonts w:cstheme="minorHAnsi"/>
          <w:sz w:val="22"/>
          <w:szCs w:val="22"/>
        </w:rPr>
        <w:t xml:space="preserve"> </w:t>
      </w:r>
      <w:r w:rsidR="007D2400" w:rsidRPr="007D2400">
        <w:rPr>
          <w:rFonts w:cstheme="minorHAnsi"/>
          <w:sz w:val="22"/>
          <w:szCs w:val="22"/>
        </w:rPr>
        <w:t>risk that the Court become all female</w:t>
      </w:r>
      <w:r w:rsidR="004057DE">
        <w:rPr>
          <w:rFonts w:cstheme="minorHAnsi"/>
          <w:sz w:val="22"/>
          <w:szCs w:val="22"/>
        </w:rPr>
        <w:t>)</w:t>
      </w:r>
      <w:r w:rsidR="007050BF">
        <w:rPr>
          <w:rFonts w:cstheme="minorHAnsi"/>
          <w:sz w:val="22"/>
          <w:szCs w:val="22"/>
        </w:rPr>
        <w:t>.</w:t>
      </w:r>
      <w:r w:rsidR="00664936">
        <w:rPr>
          <w:rStyle w:val="FootnoteReference"/>
          <w:rFonts w:cstheme="minorHAnsi"/>
          <w:sz w:val="22"/>
          <w:szCs w:val="22"/>
        </w:rPr>
        <w:footnoteReference w:id="119"/>
      </w:r>
      <w:r w:rsidR="00514C31">
        <w:rPr>
          <w:rFonts w:cstheme="minorHAnsi"/>
          <w:sz w:val="22"/>
          <w:szCs w:val="22"/>
        </w:rPr>
        <w:t xml:space="preserve"> </w:t>
      </w:r>
      <w:r w:rsidR="00487E5B">
        <w:rPr>
          <w:rFonts w:cstheme="minorHAnsi"/>
          <w:sz w:val="22"/>
          <w:szCs w:val="22"/>
        </w:rPr>
        <w:t xml:space="preserve">Labour Peer, </w:t>
      </w:r>
      <w:r w:rsidR="00527421">
        <w:rPr>
          <w:rFonts w:cstheme="minorHAnsi"/>
          <w:sz w:val="22"/>
          <w:szCs w:val="22"/>
        </w:rPr>
        <w:t>Lord Ber</w:t>
      </w:r>
      <w:r w:rsidR="0012310A">
        <w:rPr>
          <w:rFonts w:cstheme="minorHAnsi"/>
          <w:sz w:val="22"/>
          <w:szCs w:val="22"/>
        </w:rPr>
        <w:t>n</w:t>
      </w:r>
      <w:r w:rsidR="00527421">
        <w:rPr>
          <w:rFonts w:cstheme="minorHAnsi"/>
          <w:sz w:val="22"/>
          <w:szCs w:val="22"/>
        </w:rPr>
        <w:t>stein also spoke against the amendment declaring ‘the “women’s lib” movement’ left him ‘unmoved in this matter’.</w:t>
      </w:r>
      <w:r w:rsidR="00527421">
        <w:rPr>
          <w:rStyle w:val="FootnoteReference"/>
          <w:rFonts w:cstheme="minorHAnsi"/>
          <w:sz w:val="22"/>
          <w:szCs w:val="22"/>
        </w:rPr>
        <w:footnoteReference w:id="120"/>
      </w:r>
      <w:r w:rsidR="00527421">
        <w:rPr>
          <w:rFonts w:cstheme="minorHAnsi"/>
          <w:sz w:val="22"/>
          <w:szCs w:val="22"/>
        </w:rPr>
        <w:t xml:space="preserve"> </w:t>
      </w:r>
      <w:r w:rsidR="004057DE">
        <w:rPr>
          <w:rFonts w:cstheme="minorHAnsi"/>
          <w:sz w:val="22"/>
          <w:szCs w:val="22"/>
        </w:rPr>
        <w:t>Baroness Emmet</w:t>
      </w:r>
      <w:r w:rsidR="00527421">
        <w:rPr>
          <w:rFonts w:cstheme="minorHAnsi"/>
          <w:sz w:val="22"/>
          <w:szCs w:val="22"/>
        </w:rPr>
        <w:t xml:space="preserve"> </w:t>
      </w:r>
      <w:r w:rsidR="00542562">
        <w:rPr>
          <w:rFonts w:cstheme="minorHAnsi"/>
          <w:sz w:val="22"/>
          <w:szCs w:val="22"/>
        </w:rPr>
        <w:t>(</w:t>
      </w:r>
      <w:r w:rsidR="004057DE">
        <w:rPr>
          <w:rFonts w:cstheme="minorHAnsi"/>
          <w:sz w:val="22"/>
          <w:szCs w:val="22"/>
        </w:rPr>
        <w:t>who had herself on occasion been a statutory woman</w:t>
      </w:r>
      <w:r w:rsidR="00542562">
        <w:rPr>
          <w:rFonts w:cstheme="minorHAnsi"/>
          <w:sz w:val="22"/>
          <w:szCs w:val="22"/>
        </w:rPr>
        <w:t xml:space="preserve">) </w:t>
      </w:r>
      <w:r w:rsidR="00527421">
        <w:rPr>
          <w:rFonts w:cstheme="minorHAnsi"/>
          <w:sz w:val="22"/>
          <w:szCs w:val="22"/>
        </w:rPr>
        <w:t>argued that the practice</w:t>
      </w:r>
      <w:r w:rsidR="00AE5454">
        <w:rPr>
          <w:rFonts w:cstheme="minorHAnsi"/>
          <w:sz w:val="22"/>
          <w:szCs w:val="22"/>
        </w:rPr>
        <w:t>,</w:t>
      </w:r>
      <w:r w:rsidR="00527421">
        <w:rPr>
          <w:rFonts w:cstheme="minorHAnsi"/>
          <w:sz w:val="22"/>
          <w:szCs w:val="22"/>
        </w:rPr>
        <w:t xml:space="preserve"> being neither an ‘insult or complement’ to women</w:t>
      </w:r>
      <w:r w:rsidR="00AE5454">
        <w:rPr>
          <w:rFonts w:cstheme="minorHAnsi"/>
          <w:sz w:val="22"/>
          <w:szCs w:val="22"/>
        </w:rPr>
        <w:t>,</w:t>
      </w:r>
      <w:r w:rsidR="00527421">
        <w:rPr>
          <w:rFonts w:cstheme="minorHAnsi"/>
          <w:sz w:val="22"/>
          <w:szCs w:val="22"/>
        </w:rPr>
        <w:t xml:space="preserve"> was </w:t>
      </w:r>
      <w:r w:rsidR="004057DE">
        <w:rPr>
          <w:rFonts w:cstheme="minorHAnsi"/>
          <w:sz w:val="22"/>
          <w:szCs w:val="22"/>
        </w:rPr>
        <w:t>‘unnecessary’, a relic of the past</w:t>
      </w:r>
      <w:r w:rsidR="00542562">
        <w:rPr>
          <w:rFonts w:cstheme="minorHAnsi"/>
          <w:sz w:val="22"/>
          <w:szCs w:val="22"/>
        </w:rPr>
        <w:t xml:space="preserve"> when officials simply ‘forgot to put forward a woman’s name’</w:t>
      </w:r>
      <w:r w:rsidR="004057DE">
        <w:rPr>
          <w:rFonts w:cstheme="minorHAnsi"/>
          <w:sz w:val="22"/>
          <w:szCs w:val="22"/>
        </w:rPr>
        <w:t>.</w:t>
      </w:r>
      <w:r w:rsidR="004057DE">
        <w:rPr>
          <w:rStyle w:val="FootnoteReference"/>
          <w:rFonts w:cstheme="minorHAnsi"/>
          <w:sz w:val="22"/>
          <w:szCs w:val="22"/>
        </w:rPr>
        <w:footnoteReference w:id="121"/>
      </w:r>
      <w:r w:rsidR="004057DE">
        <w:rPr>
          <w:rFonts w:cstheme="minorHAnsi"/>
          <w:sz w:val="22"/>
          <w:szCs w:val="22"/>
        </w:rPr>
        <w:t xml:space="preserve">  The</w:t>
      </w:r>
      <w:r w:rsidR="00F361AC">
        <w:rPr>
          <w:rFonts w:cstheme="minorHAnsi"/>
          <w:sz w:val="22"/>
          <w:szCs w:val="22"/>
        </w:rPr>
        <w:t xml:space="preserve"> Lord Chancellor, Lord Hailsham,</w:t>
      </w:r>
      <w:r w:rsidR="004057DE">
        <w:rPr>
          <w:rFonts w:cstheme="minorHAnsi"/>
          <w:sz w:val="22"/>
          <w:szCs w:val="22"/>
        </w:rPr>
        <w:t xml:space="preserve"> agreed:</w:t>
      </w:r>
    </w:p>
    <w:p w14:paraId="4C3F36C1" w14:textId="5BA4A263" w:rsidR="00F361AC" w:rsidRDefault="00F361AC" w:rsidP="004057DE">
      <w:pPr>
        <w:spacing w:line="360" w:lineRule="auto"/>
        <w:ind w:left="720"/>
        <w:rPr>
          <w:rFonts w:cstheme="minorHAnsi"/>
          <w:sz w:val="22"/>
          <w:szCs w:val="22"/>
        </w:rPr>
      </w:pPr>
      <w:r w:rsidRPr="00F361AC">
        <w:rPr>
          <w:rFonts w:cstheme="minorHAnsi"/>
          <w:sz w:val="22"/>
          <w:szCs w:val="22"/>
        </w:rPr>
        <w:t xml:space="preserve">the presence of a woman, or women, on this Court would be of the greatest possible value, but we must try to get away from the old conception of the statutory woman. In the old days, when there was a certain prejudice in these matters, and just after women's rights in 1919, we got into the frame of mind that there must be a statutory woman on every bench. The implication was that women could not get there on their merits. I hope that that is now a thing of the past and that we may expect, in any appointments there are, whether it be to a committee of inquiry or a bench of magistrates or a court, that it will be recognised that women are playing a full part … in our national life, and do not need special preference </w:t>
      </w:r>
      <w:proofErr w:type="gramStart"/>
      <w:r w:rsidRPr="00F361AC">
        <w:rPr>
          <w:rFonts w:cstheme="minorHAnsi"/>
          <w:sz w:val="22"/>
          <w:szCs w:val="22"/>
        </w:rPr>
        <w:t>in order to</w:t>
      </w:r>
      <w:proofErr w:type="gramEnd"/>
      <w:r w:rsidRPr="00F361AC">
        <w:rPr>
          <w:rFonts w:cstheme="minorHAnsi"/>
          <w:sz w:val="22"/>
          <w:szCs w:val="22"/>
        </w:rPr>
        <w:t xml:space="preserve"> get on committees.</w:t>
      </w:r>
      <w:r>
        <w:rPr>
          <w:rStyle w:val="FootnoteReference"/>
          <w:rFonts w:cstheme="minorHAnsi"/>
          <w:sz w:val="22"/>
          <w:szCs w:val="22"/>
        </w:rPr>
        <w:footnoteReference w:id="122"/>
      </w:r>
    </w:p>
    <w:p w14:paraId="069FB423" w14:textId="77777777" w:rsidR="00DF4C18" w:rsidRDefault="0013003E" w:rsidP="00060A2F">
      <w:pPr>
        <w:spacing w:line="360" w:lineRule="auto"/>
        <w:rPr>
          <w:rFonts w:cstheme="minorHAnsi"/>
          <w:sz w:val="22"/>
          <w:szCs w:val="22"/>
        </w:rPr>
      </w:pPr>
      <w:r>
        <w:rPr>
          <w:rFonts w:cstheme="minorHAnsi"/>
          <w:sz w:val="22"/>
          <w:szCs w:val="22"/>
        </w:rPr>
        <w:lastRenderedPageBreak/>
        <w:t xml:space="preserve">Nor, </w:t>
      </w:r>
      <w:r w:rsidR="004057DE">
        <w:rPr>
          <w:rFonts w:cstheme="minorHAnsi"/>
          <w:sz w:val="22"/>
          <w:szCs w:val="22"/>
        </w:rPr>
        <w:t>Hailsham</w:t>
      </w:r>
      <w:r>
        <w:rPr>
          <w:rFonts w:cstheme="minorHAnsi"/>
          <w:sz w:val="22"/>
          <w:szCs w:val="22"/>
        </w:rPr>
        <w:t xml:space="preserve"> continued,</w:t>
      </w:r>
      <w:r w:rsidR="00F361AC">
        <w:rPr>
          <w:rFonts w:cstheme="minorHAnsi"/>
          <w:sz w:val="22"/>
          <w:szCs w:val="22"/>
        </w:rPr>
        <w:t xml:space="preserve"> </w:t>
      </w:r>
      <w:r w:rsidR="004057DE">
        <w:rPr>
          <w:rFonts w:cstheme="minorHAnsi"/>
          <w:sz w:val="22"/>
          <w:szCs w:val="22"/>
        </w:rPr>
        <w:t xml:space="preserve">could women </w:t>
      </w:r>
      <w:r w:rsidR="00F361AC">
        <w:rPr>
          <w:rFonts w:cstheme="minorHAnsi"/>
          <w:sz w:val="22"/>
          <w:szCs w:val="22"/>
        </w:rPr>
        <w:t>claim any ‘advantage’ by virtue of their experience or knowledge</w:t>
      </w:r>
      <w:r>
        <w:rPr>
          <w:rFonts w:cstheme="minorHAnsi"/>
          <w:sz w:val="22"/>
          <w:szCs w:val="22"/>
        </w:rPr>
        <w:t xml:space="preserve"> that required their presence</w:t>
      </w:r>
      <w:r w:rsidR="00F361AC">
        <w:rPr>
          <w:rFonts w:cstheme="minorHAnsi"/>
          <w:sz w:val="22"/>
          <w:szCs w:val="22"/>
        </w:rPr>
        <w:t>.</w:t>
      </w:r>
      <w:r>
        <w:rPr>
          <w:rStyle w:val="FootnoteReference"/>
          <w:rFonts w:cstheme="minorHAnsi"/>
          <w:sz w:val="22"/>
          <w:szCs w:val="22"/>
        </w:rPr>
        <w:footnoteReference w:id="123"/>
      </w:r>
      <w:r w:rsidR="00F361AC">
        <w:rPr>
          <w:rFonts w:cstheme="minorHAnsi"/>
          <w:sz w:val="22"/>
          <w:szCs w:val="22"/>
        </w:rPr>
        <w:t xml:space="preserve"> </w:t>
      </w:r>
      <w:r w:rsidR="001935C9">
        <w:rPr>
          <w:rFonts w:cstheme="minorHAnsi"/>
          <w:sz w:val="22"/>
          <w:szCs w:val="22"/>
        </w:rPr>
        <w:t>They had no special skills or insights to bring to</w:t>
      </w:r>
      <w:r w:rsidR="005F3104">
        <w:rPr>
          <w:rFonts w:cstheme="minorHAnsi"/>
          <w:sz w:val="22"/>
          <w:szCs w:val="22"/>
        </w:rPr>
        <w:t>, or improve,</w:t>
      </w:r>
      <w:r w:rsidR="001935C9">
        <w:rPr>
          <w:rFonts w:cstheme="minorHAnsi"/>
          <w:sz w:val="22"/>
          <w:szCs w:val="22"/>
        </w:rPr>
        <w:t xml:space="preserve"> the court’s decision-making.  </w:t>
      </w:r>
      <w:r w:rsidR="002B5DC4">
        <w:rPr>
          <w:rFonts w:cstheme="minorHAnsi"/>
          <w:sz w:val="22"/>
          <w:szCs w:val="22"/>
        </w:rPr>
        <w:t>And so it was that,</w:t>
      </w:r>
      <w:r w:rsidR="001935C9">
        <w:rPr>
          <w:rFonts w:cstheme="minorHAnsi"/>
          <w:sz w:val="22"/>
          <w:szCs w:val="22"/>
        </w:rPr>
        <w:t xml:space="preserve"> after</w:t>
      </w:r>
      <w:r w:rsidR="00AF7F71">
        <w:rPr>
          <w:rFonts w:cstheme="minorHAnsi"/>
          <w:sz w:val="22"/>
          <w:szCs w:val="22"/>
        </w:rPr>
        <w:t xml:space="preserve"> just</w:t>
      </w:r>
      <w:r w:rsidR="002B5DC4">
        <w:rPr>
          <w:rFonts w:cstheme="minorHAnsi"/>
          <w:sz w:val="22"/>
          <w:szCs w:val="22"/>
        </w:rPr>
        <w:t xml:space="preserve"> </w:t>
      </w:r>
      <w:r w:rsidR="00542562">
        <w:rPr>
          <w:rFonts w:cstheme="minorHAnsi"/>
          <w:sz w:val="22"/>
          <w:szCs w:val="22"/>
        </w:rPr>
        <w:t xml:space="preserve">35 minutes </w:t>
      </w:r>
      <w:r w:rsidR="001935C9">
        <w:rPr>
          <w:rFonts w:cstheme="minorHAnsi"/>
          <w:sz w:val="22"/>
          <w:szCs w:val="22"/>
        </w:rPr>
        <w:t>of debate</w:t>
      </w:r>
      <w:r w:rsidR="00542562">
        <w:rPr>
          <w:rFonts w:cstheme="minorHAnsi"/>
          <w:sz w:val="22"/>
          <w:szCs w:val="22"/>
        </w:rPr>
        <w:t xml:space="preserve">, </w:t>
      </w:r>
      <w:r w:rsidR="005A57FB">
        <w:rPr>
          <w:rFonts w:cstheme="minorHAnsi"/>
          <w:sz w:val="22"/>
          <w:szCs w:val="22"/>
        </w:rPr>
        <w:t>Lord Diamond was persuaded ‘t</w:t>
      </w:r>
      <w:r w:rsidR="005A57FB" w:rsidRPr="005A57FB">
        <w:rPr>
          <w:rFonts w:cstheme="minorHAnsi"/>
          <w:sz w:val="22"/>
          <w:szCs w:val="22"/>
        </w:rPr>
        <w:t>hat we need not continue</w:t>
      </w:r>
      <w:r w:rsidR="001935C9">
        <w:rPr>
          <w:rFonts w:cstheme="minorHAnsi"/>
          <w:sz w:val="22"/>
          <w:szCs w:val="22"/>
        </w:rPr>
        <w:t>’</w:t>
      </w:r>
      <w:r w:rsidR="005A57FB" w:rsidRPr="005A57FB">
        <w:rPr>
          <w:rFonts w:cstheme="minorHAnsi"/>
          <w:sz w:val="22"/>
          <w:szCs w:val="22"/>
        </w:rPr>
        <w:t xml:space="preserve"> with</w:t>
      </w:r>
      <w:r w:rsidR="001935C9">
        <w:rPr>
          <w:rFonts w:cstheme="minorHAnsi"/>
          <w:sz w:val="22"/>
          <w:szCs w:val="22"/>
        </w:rPr>
        <w:t xml:space="preserve"> what he now described as </w:t>
      </w:r>
      <w:r w:rsidR="00AF7F71">
        <w:rPr>
          <w:rFonts w:cstheme="minorHAnsi"/>
          <w:sz w:val="22"/>
          <w:szCs w:val="22"/>
        </w:rPr>
        <w:t>an</w:t>
      </w:r>
      <w:r w:rsidR="001935C9">
        <w:rPr>
          <w:rFonts w:cstheme="minorHAnsi"/>
          <w:sz w:val="22"/>
          <w:szCs w:val="22"/>
        </w:rPr>
        <w:t xml:space="preserve"> ’</w:t>
      </w:r>
      <w:r w:rsidR="005A57FB" w:rsidRPr="005A57FB">
        <w:rPr>
          <w:rFonts w:cstheme="minorHAnsi"/>
          <w:sz w:val="22"/>
          <w:szCs w:val="22"/>
        </w:rPr>
        <w:t>indelicate and unattractive topic</w:t>
      </w:r>
      <w:r w:rsidR="005A57FB">
        <w:rPr>
          <w:rFonts w:cstheme="minorHAnsi"/>
          <w:sz w:val="22"/>
          <w:szCs w:val="22"/>
        </w:rPr>
        <w:t xml:space="preserve">’ and </w:t>
      </w:r>
      <w:r w:rsidR="001935C9">
        <w:rPr>
          <w:rFonts w:cstheme="minorHAnsi"/>
          <w:sz w:val="22"/>
          <w:szCs w:val="22"/>
        </w:rPr>
        <w:t xml:space="preserve">he </w:t>
      </w:r>
      <w:r w:rsidR="005A57FB">
        <w:rPr>
          <w:rFonts w:cstheme="minorHAnsi"/>
          <w:sz w:val="22"/>
          <w:szCs w:val="22"/>
        </w:rPr>
        <w:t>withdr</w:t>
      </w:r>
      <w:r w:rsidR="00AE5454">
        <w:rPr>
          <w:rFonts w:cstheme="minorHAnsi"/>
          <w:sz w:val="22"/>
          <w:szCs w:val="22"/>
        </w:rPr>
        <w:t>e</w:t>
      </w:r>
      <w:r w:rsidR="005A57FB">
        <w:rPr>
          <w:rFonts w:cstheme="minorHAnsi"/>
          <w:sz w:val="22"/>
          <w:szCs w:val="22"/>
        </w:rPr>
        <w:t xml:space="preserve">w </w:t>
      </w:r>
      <w:r w:rsidR="001935C9">
        <w:rPr>
          <w:rFonts w:cstheme="minorHAnsi"/>
          <w:sz w:val="22"/>
          <w:szCs w:val="22"/>
        </w:rPr>
        <w:t>his amendment</w:t>
      </w:r>
      <w:r w:rsidR="005A57FB">
        <w:rPr>
          <w:rFonts w:cstheme="minorHAnsi"/>
          <w:sz w:val="22"/>
          <w:szCs w:val="22"/>
        </w:rPr>
        <w:t>.</w:t>
      </w:r>
      <w:r w:rsidR="005A57FB">
        <w:rPr>
          <w:rStyle w:val="FootnoteReference"/>
          <w:rFonts w:cstheme="minorHAnsi"/>
          <w:sz w:val="22"/>
          <w:szCs w:val="22"/>
        </w:rPr>
        <w:footnoteReference w:id="124"/>
      </w:r>
      <w:r>
        <w:rPr>
          <w:rFonts w:cstheme="minorHAnsi"/>
          <w:sz w:val="22"/>
          <w:szCs w:val="22"/>
        </w:rPr>
        <w:t xml:space="preserve"> </w:t>
      </w:r>
    </w:p>
    <w:p w14:paraId="015A6CA6" w14:textId="77777777" w:rsidR="00DF4C18" w:rsidRDefault="00DF4C18" w:rsidP="00060A2F">
      <w:pPr>
        <w:spacing w:line="360" w:lineRule="auto"/>
        <w:rPr>
          <w:rFonts w:cstheme="minorHAnsi"/>
          <w:sz w:val="22"/>
          <w:szCs w:val="22"/>
        </w:rPr>
      </w:pPr>
    </w:p>
    <w:p w14:paraId="2E706485" w14:textId="4207C8C7" w:rsidR="002D24B7" w:rsidRDefault="00542562" w:rsidP="001B6B22">
      <w:pPr>
        <w:spacing w:line="360" w:lineRule="auto"/>
        <w:rPr>
          <w:rFonts w:cstheme="minorHAnsi"/>
          <w:sz w:val="22"/>
          <w:szCs w:val="22"/>
        </w:rPr>
      </w:pPr>
      <w:r>
        <w:rPr>
          <w:rFonts w:cstheme="minorHAnsi"/>
          <w:sz w:val="22"/>
          <w:szCs w:val="22"/>
        </w:rPr>
        <w:t>In the event, the absence of a quota</w:t>
      </w:r>
      <w:r w:rsidR="001935C9">
        <w:rPr>
          <w:rFonts w:cstheme="minorHAnsi"/>
          <w:sz w:val="22"/>
          <w:szCs w:val="22"/>
        </w:rPr>
        <w:t xml:space="preserve"> in the 1971 Act</w:t>
      </w:r>
      <w:r>
        <w:rPr>
          <w:rFonts w:cstheme="minorHAnsi"/>
          <w:sz w:val="22"/>
          <w:szCs w:val="22"/>
        </w:rPr>
        <w:t xml:space="preserve"> made little difference to the composition of the</w:t>
      </w:r>
      <w:r w:rsidR="00F5154A">
        <w:rPr>
          <w:rFonts w:cstheme="minorHAnsi"/>
          <w:sz w:val="22"/>
          <w:szCs w:val="22"/>
        </w:rPr>
        <w:t xml:space="preserve"> Industrial Court,</w:t>
      </w:r>
      <w:r>
        <w:rPr>
          <w:rFonts w:cstheme="minorHAnsi"/>
          <w:sz w:val="22"/>
          <w:szCs w:val="22"/>
        </w:rPr>
        <w:t xml:space="preserve"> re-named</w:t>
      </w:r>
      <w:r w:rsidR="00F5154A">
        <w:rPr>
          <w:rFonts w:cstheme="minorHAnsi"/>
          <w:sz w:val="22"/>
          <w:szCs w:val="22"/>
        </w:rPr>
        <w:t xml:space="preserve"> the</w:t>
      </w:r>
      <w:r>
        <w:rPr>
          <w:rFonts w:cstheme="minorHAnsi"/>
          <w:sz w:val="22"/>
          <w:szCs w:val="22"/>
        </w:rPr>
        <w:t xml:space="preserve"> Industrial Arbitration Board.</w:t>
      </w:r>
      <w:r w:rsidR="007051FD">
        <w:rPr>
          <w:rStyle w:val="FootnoteReference"/>
          <w:rFonts w:cstheme="minorHAnsi"/>
          <w:sz w:val="22"/>
          <w:szCs w:val="22"/>
        </w:rPr>
        <w:footnoteReference w:id="125"/>
      </w:r>
      <w:r w:rsidR="00662083">
        <w:rPr>
          <w:rFonts w:cstheme="minorHAnsi"/>
          <w:sz w:val="22"/>
          <w:szCs w:val="22"/>
        </w:rPr>
        <w:t xml:space="preserve"> In 1975, </w:t>
      </w:r>
      <w:r w:rsidR="00ED713B">
        <w:rPr>
          <w:rFonts w:cstheme="minorHAnsi"/>
          <w:sz w:val="22"/>
          <w:szCs w:val="22"/>
        </w:rPr>
        <w:t xml:space="preserve">the </w:t>
      </w:r>
      <w:r w:rsidR="00ED713B">
        <w:rPr>
          <w:rFonts w:cstheme="minorHAnsi"/>
          <w:i/>
          <w:iCs/>
          <w:sz w:val="22"/>
          <w:szCs w:val="22"/>
        </w:rPr>
        <w:t>Sunday Times</w:t>
      </w:r>
      <w:r w:rsidR="00662083">
        <w:rPr>
          <w:rFonts w:cstheme="minorHAnsi"/>
          <w:sz w:val="22"/>
          <w:szCs w:val="22"/>
        </w:rPr>
        <w:t xml:space="preserve"> reported that there were three women</w:t>
      </w:r>
      <w:r w:rsidR="000034AF">
        <w:rPr>
          <w:rFonts w:cstheme="minorHAnsi"/>
          <w:sz w:val="22"/>
          <w:szCs w:val="22"/>
        </w:rPr>
        <w:t xml:space="preserve"> among the lay members of </w:t>
      </w:r>
      <w:r w:rsidR="00662083">
        <w:rPr>
          <w:rFonts w:cstheme="minorHAnsi"/>
          <w:sz w:val="22"/>
          <w:szCs w:val="22"/>
        </w:rPr>
        <w:t>the court.</w:t>
      </w:r>
      <w:r w:rsidR="00662083">
        <w:rPr>
          <w:rStyle w:val="FootnoteReference"/>
          <w:rFonts w:cstheme="minorHAnsi"/>
          <w:sz w:val="22"/>
          <w:szCs w:val="22"/>
        </w:rPr>
        <w:footnoteReference w:id="126"/>
      </w:r>
      <w:r w:rsidR="00662083">
        <w:rPr>
          <w:rFonts w:cstheme="minorHAnsi"/>
          <w:sz w:val="22"/>
          <w:szCs w:val="22"/>
        </w:rPr>
        <w:t xml:space="preserve"> Shaw’s amendment</w:t>
      </w:r>
      <w:r w:rsidR="00AD3749">
        <w:rPr>
          <w:rFonts w:cstheme="minorHAnsi"/>
          <w:sz w:val="22"/>
          <w:szCs w:val="22"/>
        </w:rPr>
        <w:t xml:space="preserve"> back in November 1919</w:t>
      </w:r>
      <w:r w:rsidR="005F3104">
        <w:rPr>
          <w:rFonts w:cstheme="minorHAnsi"/>
          <w:sz w:val="22"/>
          <w:szCs w:val="22"/>
        </w:rPr>
        <w:t xml:space="preserve"> had done its job</w:t>
      </w:r>
      <w:r w:rsidR="00E723E9">
        <w:rPr>
          <w:rFonts w:cstheme="minorHAnsi"/>
          <w:sz w:val="22"/>
          <w:szCs w:val="22"/>
        </w:rPr>
        <w:t>. It had</w:t>
      </w:r>
      <w:r w:rsidR="005F3104">
        <w:rPr>
          <w:rFonts w:cstheme="minorHAnsi"/>
          <w:sz w:val="22"/>
          <w:szCs w:val="22"/>
        </w:rPr>
        <w:t xml:space="preserve"> </w:t>
      </w:r>
      <w:r w:rsidR="00662083">
        <w:rPr>
          <w:rFonts w:cstheme="minorHAnsi"/>
          <w:sz w:val="22"/>
          <w:szCs w:val="22"/>
        </w:rPr>
        <w:t>embedd</w:t>
      </w:r>
      <w:r w:rsidR="00E723E9">
        <w:rPr>
          <w:rFonts w:cstheme="minorHAnsi"/>
          <w:sz w:val="22"/>
          <w:szCs w:val="22"/>
        </w:rPr>
        <w:t xml:space="preserve">ed </w:t>
      </w:r>
      <w:r w:rsidR="00662083">
        <w:rPr>
          <w:rFonts w:cstheme="minorHAnsi"/>
          <w:sz w:val="22"/>
          <w:szCs w:val="22"/>
        </w:rPr>
        <w:t xml:space="preserve">women’s presence in the DNA of the </w:t>
      </w:r>
      <w:r w:rsidR="00ED713B">
        <w:rPr>
          <w:rFonts w:cstheme="minorHAnsi"/>
          <w:sz w:val="22"/>
          <w:szCs w:val="22"/>
        </w:rPr>
        <w:t>Court</w:t>
      </w:r>
      <w:r w:rsidR="00662083">
        <w:rPr>
          <w:rFonts w:cstheme="minorHAnsi"/>
          <w:sz w:val="22"/>
          <w:szCs w:val="22"/>
        </w:rPr>
        <w:t xml:space="preserve"> </w:t>
      </w:r>
      <w:r w:rsidR="005F3104">
        <w:rPr>
          <w:rFonts w:cstheme="minorHAnsi"/>
          <w:sz w:val="22"/>
          <w:szCs w:val="22"/>
        </w:rPr>
        <w:t>and,</w:t>
      </w:r>
      <w:r w:rsidR="00ED713B">
        <w:rPr>
          <w:rFonts w:cstheme="minorHAnsi"/>
          <w:sz w:val="22"/>
          <w:szCs w:val="22"/>
        </w:rPr>
        <w:t xml:space="preserve"> </w:t>
      </w:r>
      <w:r w:rsidR="00E723E9">
        <w:rPr>
          <w:rFonts w:cstheme="minorHAnsi"/>
          <w:sz w:val="22"/>
          <w:szCs w:val="22"/>
        </w:rPr>
        <w:t>it seems</w:t>
      </w:r>
      <w:r w:rsidR="005F3104">
        <w:rPr>
          <w:rFonts w:cstheme="minorHAnsi"/>
          <w:sz w:val="22"/>
          <w:szCs w:val="22"/>
        </w:rPr>
        <w:t>,</w:t>
      </w:r>
      <w:r w:rsidR="00662083">
        <w:rPr>
          <w:rFonts w:cstheme="minorHAnsi"/>
          <w:sz w:val="22"/>
          <w:szCs w:val="22"/>
        </w:rPr>
        <w:t xml:space="preserve"> insula</w:t>
      </w:r>
      <w:r w:rsidR="00ED713B">
        <w:rPr>
          <w:rFonts w:cstheme="minorHAnsi"/>
          <w:sz w:val="22"/>
          <w:szCs w:val="22"/>
        </w:rPr>
        <w:t>t</w:t>
      </w:r>
      <w:r w:rsidR="002D24B7">
        <w:rPr>
          <w:rFonts w:cstheme="minorHAnsi"/>
          <w:sz w:val="22"/>
          <w:szCs w:val="22"/>
        </w:rPr>
        <w:t xml:space="preserve">ed </w:t>
      </w:r>
      <w:r w:rsidR="005F3104">
        <w:rPr>
          <w:rFonts w:cstheme="minorHAnsi"/>
          <w:sz w:val="22"/>
          <w:szCs w:val="22"/>
        </w:rPr>
        <w:t>their inclusion</w:t>
      </w:r>
      <w:r w:rsidR="00662083">
        <w:rPr>
          <w:rFonts w:cstheme="minorHAnsi"/>
          <w:sz w:val="22"/>
          <w:szCs w:val="22"/>
        </w:rPr>
        <w:t xml:space="preserve"> from the vagaries of politics and shifts in personnel. </w:t>
      </w:r>
    </w:p>
    <w:p w14:paraId="5B572EE6" w14:textId="77777777" w:rsidR="002D24B7" w:rsidRDefault="002D24B7" w:rsidP="001B6B22">
      <w:pPr>
        <w:spacing w:line="360" w:lineRule="auto"/>
        <w:rPr>
          <w:rFonts w:cstheme="minorHAnsi"/>
          <w:sz w:val="22"/>
          <w:szCs w:val="22"/>
        </w:rPr>
      </w:pPr>
    </w:p>
    <w:p w14:paraId="6320B7D7" w14:textId="6D16876C" w:rsidR="00F5154A" w:rsidRDefault="00AD3749" w:rsidP="001B6B22">
      <w:pPr>
        <w:spacing w:line="360" w:lineRule="auto"/>
        <w:rPr>
          <w:rFonts w:cstheme="minorHAnsi"/>
          <w:sz w:val="22"/>
          <w:szCs w:val="22"/>
        </w:rPr>
      </w:pPr>
      <w:r>
        <w:rPr>
          <w:rFonts w:cstheme="minorHAnsi"/>
          <w:sz w:val="22"/>
          <w:szCs w:val="22"/>
        </w:rPr>
        <w:t>The</w:t>
      </w:r>
      <w:r w:rsidR="005F3104">
        <w:rPr>
          <w:rFonts w:cstheme="minorHAnsi"/>
          <w:sz w:val="22"/>
          <w:szCs w:val="22"/>
        </w:rPr>
        <w:t xml:space="preserve"> legacy of the debates in 1971 is still felt today</w:t>
      </w:r>
      <w:r w:rsidR="002B5DC4">
        <w:rPr>
          <w:rFonts w:cstheme="minorHAnsi"/>
          <w:sz w:val="22"/>
          <w:szCs w:val="22"/>
        </w:rPr>
        <w:t>.</w:t>
      </w:r>
      <w:r w:rsidR="00514C31">
        <w:rPr>
          <w:rFonts w:cstheme="minorHAnsi"/>
          <w:sz w:val="22"/>
          <w:szCs w:val="22"/>
        </w:rPr>
        <w:t xml:space="preserve"> </w:t>
      </w:r>
      <w:r w:rsidR="00695EB2">
        <w:rPr>
          <w:rFonts w:cstheme="minorHAnsi"/>
          <w:sz w:val="22"/>
          <w:szCs w:val="22"/>
        </w:rPr>
        <w:t>Versions of the</w:t>
      </w:r>
      <w:r w:rsidR="006D3A5E">
        <w:rPr>
          <w:rFonts w:cstheme="minorHAnsi"/>
          <w:sz w:val="22"/>
          <w:szCs w:val="22"/>
        </w:rPr>
        <w:t xml:space="preserve"> argument</w:t>
      </w:r>
      <w:r w:rsidR="00060A2F">
        <w:rPr>
          <w:rFonts w:cstheme="minorHAnsi"/>
          <w:sz w:val="22"/>
          <w:szCs w:val="22"/>
        </w:rPr>
        <w:t>s</w:t>
      </w:r>
      <w:r w:rsidR="00695EB2">
        <w:rPr>
          <w:rFonts w:cstheme="minorHAnsi"/>
          <w:sz w:val="22"/>
          <w:szCs w:val="22"/>
        </w:rPr>
        <w:t xml:space="preserve"> made by </w:t>
      </w:r>
      <w:r w:rsidR="00F5154A">
        <w:rPr>
          <w:rFonts w:cstheme="minorHAnsi"/>
          <w:sz w:val="22"/>
          <w:szCs w:val="22"/>
        </w:rPr>
        <w:t xml:space="preserve">Baroness </w:t>
      </w:r>
      <w:r w:rsidR="006D3A5E">
        <w:rPr>
          <w:rFonts w:cstheme="minorHAnsi"/>
          <w:sz w:val="22"/>
          <w:szCs w:val="22"/>
        </w:rPr>
        <w:t>Emmet</w:t>
      </w:r>
      <w:r w:rsidR="00F5154A">
        <w:rPr>
          <w:rFonts w:cstheme="minorHAnsi"/>
          <w:sz w:val="22"/>
          <w:szCs w:val="22"/>
        </w:rPr>
        <w:t xml:space="preserve"> and Lords </w:t>
      </w:r>
      <w:proofErr w:type="spellStart"/>
      <w:r w:rsidR="006D3A5E">
        <w:rPr>
          <w:rFonts w:cstheme="minorHAnsi"/>
          <w:sz w:val="22"/>
          <w:szCs w:val="22"/>
        </w:rPr>
        <w:t>Conesford</w:t>
      </w:r>
      <w:proofErr w:type="spellEnd"/>
      <w:r w:rsidR="006D3A5E">
        <w:rPr>
          <w:rFonts w:cstheme="minorHAnsi"/>
          <w:sz w:val="22"/>
          <w:szCs w:val="22"/>
        </w:rPr>
        <w:t xml:space="preserve"> and</w:t>
      </w:r>
      <w:r w:rsidR="00ED713B">
        <w:rPr>
          <w:rFonts w:cstheme="minorHAnsi"/>
          <w:sz w:val="22"/>
          <w:szCs w:val="22"/>
        </w:rPr>
        <w:t xml:space="preserve"> </w:t>
      </w:r>
      <w:r w:rsidR="006D3A5E">
        <w:rPr>
          <w:rFonts w:cstheme="minorHAnsi"/>
          <w:sz w:val="22"/>
          <w:szCs w:val="22"/>
        </w:rPr>
        <w:t xml:space="preserve">Hailsham </w:t>
      </w:r>
      <w:r w:rsidR="00136E46">
        <w:rPr>
          <w:rFonts w:cstheme="minorHAnsi"/>
          <w:sz w:val="22"/>
          <w:szCs w:val="22"/>
        </w:rPr>
        <w:t xml:space="preserve">continue to shape and distort </w:t>
      </w:r>
      <w:r w:rsidR="006D3A5E">
        <w:rPr>
          <w:rFonts w:cstheme="minorHAnsi"/>
          <w:sz w:val="22"/>
          <w:szCs w:val="22"/>
        </w:rPr>
        <w:t xml:space="preserve">contemporary debates </w:t>
      </w:r>
      <w:r w:rsidR="00F5154A">
        <w:rPr>
          <w:rFonts w:cstheme="minorHAnsi"/>
          <w:sz w:val="22"/>
          <w:szCs w:val="22"/>
        </w:rPr>
        <w:t>around the use of quotas</w:t>
      </w:r>
      <w:r w:rsidR="00136E46">
        <w:rPr>
          <w:rFonts w:cstheme="minorHAnsi"/>
          <w:sz w:val="22"/>
          <w:szCs w:val="22"/>
        </w:rPr>
        <w:t>.</w:t>
      </w:r>
      <w:r w:rsidR="00F5154A">
        <w:rPr>
          <w:rFonts w:cstheme="minorHAnsi"/>
          <w:sz w:val="22"/>
          <w:szCs w:val="22"/>
        </w:rPr>
        <w:t xml:space="preserve"> </w:t>
      </w:r>
      <w:r w:rsidR="00060A2F">
        <w:rPr>
          <w:rFonts w:cstheme="minorHAnsi"/>
          <w:sz w:val="22"/>
          <w:szCs w:val="22"/>
        </w:rPr>
        <w:t>They can be seen in the</w:t>
      </w:r>
      <w:r w:rsidR="00136E46">
        <w:rPr>
          <w:rFonts w:cstheme="minorHAnsi"/>
          <w:sz w:val="22"/>
          <w:szCs w:val="22"/>
        </w:rPr>
        <w:t xml:space="preserve"> now dominant framing of a statutory requirement of representation </w:t>
      </w:r>
      <w:r w:rsidR="00E25059">
        <w:rPr>
          <w:rFonts w:cstheme="minorHAnsi"/>
          <w:sz w:val="22"/>
          <w:szCs w:val="22"/>
        </w:rPr>
        <w:t>as a</w:t>
      </w:r>
      <w:r w:rsidR="00136E46">
        <w:rPr>
          <w:rFonts w:cstheme="minorHAnsi"/>
          <w:sz w:val="22"/>
          <w:szCs w:val="22"/>
        </w:rPr>
        <w:t xml:space="preserve"> </w:t>
      </w:r>
      <w:r w:rsidR="006E3D2A">
        <w:rPr>
          <w:rFonts w:cstheme="minorHAnsi"/>
          <w:sz w:val="22"/>
          <w:szCs w:val="22"/>
        </w:rPr>
        <w:t>special or temporary ‘</w:t>
      </w:r>
      <w:r w:rsidR="00F5154A">
        <w:rPr>
          <w:rFonts w:cstheme="minorHAnsi"/>
          <w:sz w:val="22"/>
          <w:szCs w:val="22"/>
        </w:rPr>
        <w:t>remedial measure</w:t>
      </w:r>
      <w:r w:rsidR="006E3D2A">
        <w:rPr>
          <w:rFonts w:cstheme="minorHAnsi"/>
          <w:sz w:val="22"/>
          <w:szCs w:val="22"/>
        </w:rPr>
        <w:t>’</w:t>
      </w:r>
      <w:r w:rsidR="00DF4C18">
        <w:rPr>
          <w:rFonts w:cstheme="minorHAnsi"/>
          <w:sz w:val="22"/>
          <w:szCs w:val="22"/>
        </w:rPr>
        <w:t>,</w:t>
      </w:r>
      <w:r w:rsidR="00060A2F">
        <w:rPr>
          <w:rStyle w:val="FootnoteReference"/>
          <w:rFonts w:cstheme="minorHAnsi"/>
          <w:sz w:val="22"/>
          <w:szCs w:val="22"/>
        </w:rPr>
        <w:footnoteReference w:id="127"/>
      </w:r>
      <w:r w:rsidR="00060A2F">
        <w:rPr>
          <w:rFonts w:cstheme="minorHAnsi"/>
          <w:sz w:val="22"/>
          <w:szCs w:val="22"/>
        </w:rPr>
        <w:t xml:space="preserve"> </w:t>
      </w:r>
      <w:r w:rsidR="00136E46">
        <w:rPr>
          <w:rFonts w:cstheme="minorHAnsi"/>
          <w:sz w:val="22"/>
          <w:szCs w:val="22"/>
        </w:rPr>
        <w:t xml:space="preserve"> ‘targeted at under-represented groups</w:t>
      </w:r>
      <w:r w:rsidR="00060A2F">
        <w:rPr>
          <w:rFonts w:cstheme="minorHAnsi"/>
          <w:sz w:val="22"/>
          <w:szCs w:val="22"/>
        </w:rPr>
        <w:t xml:space="preserve"> </w:t>
      </w:r>
      <w:r w:rsidR="00DF4C18">
        <w:rPr>
          <w:rFonts w:cstheme="minorHAnsi"/>
          <w:sz w:val="22"/>
          <w:szCs w:val="22"/>
        </w:rPr>
        <w:t>…</w:t>
      </w:r>
      <w:r w:rsidR="00136E46">
        <w:rPr>
          <w:rFonts w:cstheme="minorHAnsi"/>
          <w:sz w:val="22"/>
          <w:szCs w:val="22"/>
        </w:rPr>
        <w:t xml:space="preserve"> for their benefit rather than for the benefit of society at large’</w:t>
      </w:r>
      <w:r w:rsidR="00DF4C18">
        <w:rPr>
          <w:rFonts w:cstheme="minorHAnsi"/>
          <w:sz w:val="22"/>
          <w:szCs w:val="22"/>
        </w:rPr>
        <w:t>.</w:t>
      </w:r>
      <w:r w:rsidR="00136E46">
        <w:rPr>
          <w:rStyle w:val="FootnoteReference"/>
          <w:rFonts w:cstheme="minorHAnsi"/>
          <w:sz w:val="22"/>
          <w:szCs w:val="22"/>
        </w:rPr>
        <w:footnoteReference w:id="128"/>
      </w:r>
      <w:r w:rsidR="00136E46">
        <w:rPr>
          <w:rFonts w:cstheme="minorHAnsi"/>
          <w:sz w:val="22"/>
          <w:szCs w:val="22"/>
        </w:rPr>
        <w:t xml:space="preserve"> </w:t>
      </w:r>
      <w:r w:rsidR="00DF4C18">
        <w:rPr>
          <w:rFonts w:cstheme="minorHAnsi"/>
          <w:sz w:val="22"/>
          <w:szCs w:val="22"/>
        </w:rPr>
        <w:t>And in the suggestion that</w:t>
      </w:r>
      <w:r w:rsidR="006E3D2A">
        <w:rPr>
          <w:rFonts w:cstheme="minorHAnsi"/>
          <w:sz w:val="22"/>
          <w:szCs w:val="22"/>
        </w:rPr>
        <w:t xml:space="preserve"> </w:t>
      </w:r>
      <w:r w:rsidR="00E723E9">
        <w:rPr>
          <w:rFonts w:cstheme="minorHAnsi"/>
          <w:sz w:val="22"/>
          <w:szCs w:val="22"/>
        </w:rPr>
        <w:t>quotas fail both individuals</w:t>
      </w:r>
      <w:r w:rsidR="005411FB">
        <w:rPr>
          <w:rFonts w:cstheme="minorHAnsi"/>
          <w:sz w:val="22"/>
          <w:szCs w:val="22"/>
        </w:rPr>
        <w:t xml:space="preserve"> they are seeking to ‘help’</w:t>
      </w:r>
      <w:r w:rsidR="00E723E9">
        <w:rPr>
          <w:rFonts w:cstheme="minorHAnsi"/>
          <w:sz w:val="22"/>
          <w:szCs w:val="22"/>
        </w:rPr>
        <w:t xml:space="preserve"> and the institution of which they </w:t>
      </w:r>
      <w:r w:rsidR="005411FB">
        <w:rPr>
          <w:rFonts w:cstheme="minorHAnsi"/>
          <w:sz w:val="22"/>
          <w:szCs w:val="22"/>
        </w:rPr>
        <w:t>wish to be</w:t>
      </w:r>
      <w:r w:rsidR="00E723E9">
        <w:rPr>
          <w:rFonts w:cstheme="minorHAnsi"/>
          <w:sz w:val="22"/>
          <w:szCs w:val="22"/>
        </w:rPr>
        <w:t xml:space="preserve"> part.</w:t>
      </w:r>
      <w:r w:rsidR="00DF4C18">
        <w:rPr>
          <w:rFonts w:cstheme="minorHAnsi"/>
          <w:sz w:val="22"/>
          <w:szCs w:val="22"/>
        </w:rPr>
        <w:t xml:space="preserve"> 50 years later,</w:t>
      </w:r>
      <w:r w:rsidR="002D24B7">
        <w:rPr>
          <w:rFonts w:cstheme="minorHAnsi"/>
          <w:sz w:val="22"/>
          <w:szCs w:val="22"/>
        </w:rPr>
        <w:t xml:space="preserve"> just as with Baroness Emmett,</w:t>
      </w:r>
      <w:r w:rsidR="00DF4C18">
        <w:rPr>
          <w:rFonts w:cstheme="minorHAnsi"/>
          <w:sz w:val="22"/>
          <w:szCs w:val="22"/>
        </w:rPr>
        <w:t xml:space="preserve"> </w:t>
      </w:r>
      <w:r w:rsidR="00060A2F">
        <w:rPr>
          <w:rFonts w:cstheme="minorHAnsi"/>
          <w:sz w:val="22"/>
          <w:szCs w:val="22"/>
        </w:rPr>
        <w:t>‘[t]</w:t>
      </w:r>
      <w:r w:rsidR="005411FB">
        <w:rPr>
          <w:rFonts w:cstheme="minorHAnsi"/>
          <w:sz w:val="22"/>
          <w:szCs w:val="22"/>
        </w:rPr>
        <w:t xml:space="preserve">he fact that arguments against quotas </w:t>
      </w:r>
      <w:r w:rsidR="00DF4C18">
        <w:rPr>
          <w:rFonts w:cstheme="minorHAnsi"/>
          <w:sz w:val="22"/>
          <w:szCs w:val="22"/>
        </w:rPr>
        <w:t>[are]</w:t>
      </w:r>
      <w:r w:rsidR="005411FB">
        <w:rPr>
          <w:rFonts w:cstheme="minorHAnsi"/>
          <w:sz w:val="22"/>
          <w:szCs w:val="22"/>
        </w:rPr>
        <w:t xml:space="preserve"> often </w:t>
      </w:r>
      <w:r w:rsidR="00DF4C18">
        <w:rPr>
          <w:rFonts w:cstheme="minorHAnsi"/>
          <w:sz w:val="22"/>
          <w:szCs w:val="22"/>
        </w:rPr>
        <w:t>…</w:t>
      </w:r>
      <w:r w:rsidR="005411FB">
        <w:rPr>
          <w:rFonts w:cstheme="minorHAnsi"/>
          <w:sz w:val="22"/>
          <w:szCs w:val="22"/>
        </w:rPr>
        <w:t xml:space="preserve"> put by women and BAME lawyers and judges</w:t>
      </w:r>
      <w:r w:rsidR="00060A2F">
        <w:rPr>
          <w:rFonts w:cstheme="minorHAnsi"/>
          <w:sz w:val="22"/>
          <w:szCs w:val="22"/>
        </w:rPr>
        <w:t xml:space="preserve">’ </w:t>
      </w:r>
      <w:r w:rsidR="00DF4C18">
        <w:rPr>
          <w:rFonts w:cstheme="minorHAnsi"/>
          <w:sz w:val="22"/>
          <w:szCs w:val="22"/>
        </w:rPr>
        <w:t>continues to carry</w:t>
      </w:r>
      <w:r w:rsidR="00060A2F">
        <w:rPr>
          <w:rFonts w:cstheme="minorHAnsi"/>
          <w:sz w:val="22"/>
          <w:szCs w:val="22"/>
        </w:rPr>
        <w:t xml:space="preserve"> ‘</w:t>
      </w:r>
      <w:r w:rsidR="005411FB">
        <w:rPr>
          <w:rFonts w:cstheme="minorHAnsi"/>
          <w:sz w:val="22"/>
          <w:szCs w:val="22"/>
        </w:rPr>
        <w:t>particular weight</w:t>
      </w:r>
      <w:r w:rsidR="00DF4C18">
        <w:rPr>
          <w:rFonts w:cstheme="minorHAnsi"/>
          <w:sz w:val="22"/>
          <w:szCs w:val="22"/>
        </w:rPr>
        <w:t>’ and ‘</w:t>
      </w:r>
      <w:r w:rsidR="005411FB">
        <w:rPr>
          <w:rFonts w:cstheme="minorHAnsi"/>
          <w:sz w:val="22"/>
          <w:szCs w:val="22"/>
        </w:rPr>
        <w:t>understandably</w:t>
      </w:r>
      <w:r w:rsidR="001B6B22">
        <w:rPr>
          <w:rFonts w:cstheme="minorHAnsi"/>
          <w:sz w:val="22"/>
          <w:szCs w:val="22"/>
        </w:rPr>
        <w:t xml:space="preserve">, </w:t>
      </w:r>
      <w:r w:rsidR="00DF4C18">
        <w:rPr>
          <w:rFonts w:cstheme="minorHAnsi"/>
          <w:sz w:val="22"/>
          <w:szCs w:val="22"/>
        </w:rPr>
        <w:t>[have]</w:t>
      </w:r>
      <w:r w:rsidR="005411FB">
        <w:rPr>
          <w:rFonts w:cstheme="minorHAnsi"/>
          <w:sz w:val="22"/>
          <w:szCs w:val="22"/>
        </w:rPr>
        <w:t xml:space="preserve"> a chilling effect on proposals for their introduction</w:t>
      </w:r>
      <w:r w:rsidR="00060A2F">
        <w:rPr>
          <w:rFonts w:cstheme="minorHAnsi"/>
          <w:sz w:val="22"/>
          <w:szCs w:val="22"/>
        </w:rPr>
        <w:t>’</w:t>
      </w:r>
      <w:r w:rsidR="005411FB">
        <w:rPr>
          <w:rFonts w:cstheme="minorHAnsi"/>
          <w:sz w:val="22"/>
          <w:szCs w:val="22"/>
        </w:rPr>
        <w:t>.</w:t>
      </w:r>
      <w:r w:rsidR="005411FB">
        <w:rPr>
          <w:rStyle w:val="FootnoteReference"/>
          <w:rFonts w:cstheme="minorHAnsi"/>
          <w:sz w:val="22"/>
          <w:szCs w:val="22"/>
        </w:rPr>
        <w:footnoteReference w:id="129"/>
      </w:r>
      <w:r w:rsidR="005411FB" w:rsidRPr="00136E46">
        <w:rPr>
          <w:rFonts w:cstheme="minorHAnsi"/>
          <w:sz w:val="22"/>
          <w:szCs w:val="22"/>
        </w:rPr>
        <w:t xml:space="preserve"> </w:t>
      </w:r>
      <w:r w:rsidR="005411FB">
        <w:rPr>
          <w:rFonts w:cstheme="minorHAnsi"/>
          <w:sz w:val="22"/>
          <w:szCs w:val="22"/>
        </w:rPr>
        <w:t xml:space="preserve">Quotas </w:t>
      </w:r>
      <w:r w:rsidR="000D7110">
        <w:rPr>
          <w:rFonts w:cstheme="minorHAnsi"/>
          <w:sz w:val="22"/>
          <w:szCs w:val="22"/>
        </w:rPr>
        <w:t>are</w:t>
      </w:r>
      <w:r w:rsidR="00DF4C18">
        <w:rPr>
          <w:rFonts w:cstheme="minorHAnsi"/>
          <w:sz w:val="22"/>
          <w:szCs w:val="22"/>
        </w:rPr>
        <w:t xml:space="preserve"> consistently</w:t>
      </w:r>
      <w:r w:rsidR="005411FB">
        <w:rPr>
          <w:rFonts w:cstheme="minorHAnsi"/>
          <w:sz w:val="22"/>
          <w:szCs w:val="22"/>
        </w:rPr>
        <w:t xml:space="preserve"> rejected as </w:t>
      </w:r>
      <w:r w:rsidR="00F5154A">
        <w:rPr>
          <w:rFonts w:cstheme="minorHAnsi"/>
          <w:sz w:val="22"/>
          <w:szCs w:val="22"/>
        </w:rPr>
        <w:t>‘patronising’</w:t>
      </w:r>
      <w:r w:rsidR="00F5154A">
        <w:rPr>
          <w:rStyle w:val="FootnoteReference"/>
          <w:rFonts w:cstheme="minorHAnsi"/>
          <w:sz w:val="22"/>
          <w:szCs w:val="22"/>
        </w:rPr>
        <w:footnoteReference w:id="130"/>
      </w:r>
      <w:r w:rsidR="00F5154A">
        <w:rPr>
          <w:rFonts w:cstheme="minorHAnsi"/>
          <w:sz w:val="22"/>
          <w:szCs w:val="22"/>
        </w:rPr>
        <w:t xml:space="preserve"> </w:t>
      </w:r>
      <w:r w:rsidR="00E723E9">
        <w:rPr>
          <w:rFonts w:cstheme="minorHAnsi"/>
          <w:sz w:val="22"/>
          <w:szCs w:val="22"/>
        </w:rPr>
        <w:t xml:space="preserve">and/or </w:t>
      </w:r>
      <w:r w:rsidR="00136E46">
        <w:rPr>
          <w:rFonts w:cstheme="minorHAnsi"/>
          <w:sz w:val="22"/>
          <w:szCs w:val="22"/>
        </w:rPr>
        <w:t>‘fatal</w:t>
      </w:r>
      <w:r w:rsidR="00E723E9">
        <w:rPr>
          <w:rFonts w:cstheme="minorHAnsi"/>
          <w:sz w:val="22"/>
          <w:szCs w:val="22"/>
        </w:rPr>
        <w:t xml:space="preserve">’ </w:t>
      </w:r>
      <w:r w:rsidR="00136E46">
        <w:rPr>
          <w:rFonts w:cstheme="minorHAnsi"/>
          <w:sz w:val="22"/>
          <w:szCs w:val="22"/>
        </w:rPr>
        <w:t xml:space="preserve">to the authority of judges who </w:t>
      </w:r>
      <w:r w:rsidR="00AE5454">
        <w:rPr>
          <w:rFonts w:cstheme="minorHAnsi"/>
          <w:sz w:val="22"/>
          <w:szCs w:val="22"/>
        </w:rPr>
        <w:t xml:space="preserve">are </w:t>
      </w:r>
      <w:r w:rsidR="00E723E9">
        <w:rPr>
          <w:rFonts w:cstheme="minorHAnsi"/>
          <w:sz w:val="22"/>
          <w:szCs w:val="22"/>
        </w:rPr>
        <w:t>‘</w:t>
      </w:r>
      <w:r w:rsidR="00136E46">
        <w:rPr>
          <w:rFonts w:cstheme="minorHAnsi"/>
          <w:sz w:val="22"/>
          <w:szCs w:val="22"/>
        </w:rPr>
        <w:t xml:space="preserve">known or thought to be </w:t>
      </w:r>
      <w:r w:rsidR="006E3D2A">
        <w:rPr>
          <w:rFonts w:cstheme="minorHAnsi"/>
          <w:sz w:val="22"/>
          <w:szCs w:val="22"/>
        </w:rPr>
        <w:t>“</w:t>
      </w:r>
      <w:r w:rsidR="00136E46">
        <w:rPr>
          <w:rFonts w:cstheme="minorHAnsi"/>
          <w:sz w:val="22"/>
          <w:szCs w:val="22"/>
        </w:rPr>
        <w:t>quota judges</w:t>
      </w:r>
      <w:r w:rsidR="006E3D2A">
        <w:rPr>
          <w:rFonts w:cstheme="minorHAnsi"/>
          <w:sz w:val="22"/>
          <w:szCs w:val="22"/>
        </w:rPr>
        <w:t>”’</w:t>
      </w:r>
      <w:r>
        <w:rPr>
          <w:rFonts w:cstheme="minorHAnsi"/>
          <w:sz w:val="22"/>
          <w:szCs w:val="22"/>
        </w:rPr>
        <w:t>.</w:t>
      </w:r>
      <w:r w:rsidR="00F5154A">
        <w:rPr>
          <w:rStyle w:val="FootnoteReference"/>
          <w:rFonts w:cstheme="minorHAnsi"/>
          <w:sz w:val="22"/>
          <w:szCs w:val="22"/>
        </w:rPr>
        <w:footnoteReference w:id="131"/>
      </w:r>
      <w:r w:rsidR="00E723E9">
        <w:rPr>
          <w:rFonts w:cstheme="minorHAnsi"/>
          <w:sz w:val="22"/>
          <w:szCs w:val="22"/>
        </w:rPr>
        <w:t xml:space="preserve"> </w:t>
      </w:r>
      <w:r>
        <w:rPr>
          <w:rFonts w:cstheme="minorHAnsi"/>
          <w:sz w:val="22"/>
          <w:szCs w:val="22"/>
        </w:rPr>
        <w:t xml:space="preserve">At other times they are </w:t>
      </w:r>
      <w:r w:rsidR="005411FB">
        <w:rPr>
          <w:rFonts w:cstheme="minorHAnsi"/>
          <w:sz w:val="22"/>
          <w:szCs w:val="22"/>
        </w:rPr>
        <w:t>the ‘antithesis of appointment on merit’,</w:t>
      </w:r>
      <w:r w:rsidR="005411FB">
        <w:rPr>
          <w:rStyle w:val="FootnoteReference"/>
          <w:rFonts w:cstheme="minorHAnsi"/>
          <w:sz w:val="22"/>
          <w:szCs w:val="22"/>
        </w:rPr>
        <w:footnoteReference w:id="132"/>
      </w:r>
      <w:r w:rsidR="005411FB">
        <w:rPr>
          <w:rFonts w:cstheme="minorHAnsi"/>
          <w:sz w:val="22"/>
          <w:szCs w:val="22"/>
        </w:rPr>
        <w:t xml:space="preserve"> threatening to ‘dilute the quality  of the judiciary’</w:t>
      </w:r>
      <w:r w:rsidR="005411FB">
        <w:rPr>
          <w:rStyle w:val="FootnoteReference"/>
          <w:rFonts w:cstheme="minorHAnsi"/>
          <w:sz w:val="22"/>
          <w:szCs w:val="22"/>
        </w:rPr>
        <w:footnoteReference w:id="133"/>
      </w:r>
      <w:r w:rsidR="00E723E9">
        <w:rPr>
          <w:rFonts w:cstheme="minorHAnsi"/>
          <w:sz w:val="22"/>
          <w:szCs w:val="22"/>
        </w:rPr>
        <w:t xml:space="preserve"> </w:t>
      </w:r>
      <w:r w:rsidR="005411FB">
        <w:rPr>
          <w:rFonts w:cstheme="minorHAnsi"/>
          <w:sz w:val="22"/>
          <w:szCs w:val="22"/>
        </w:rPr>
        <w:t>and/</w:t>
      </w:r>
      <w:r w:rsidR="00F5154A">
        <w:rPr>
          <w:rFonts w:cstheme="minorHAnsi"/>
          <w:sz w:val="22"/>
          <w:szCs w:val="22"/>
        </w:rPr>
        <w:t xml:space="preserve">or the harbinger of </w:t>
      </w:r>
      <w:r w:rsidR="00F5154A">
        <w:rPr>
          <w:rFonts w:cstheme="minorHAnsi"/>
          <w:sz w:val="22"/>
          <w:szCs w:val="22"/>
        </w:rPr>
        <w:lastRenderedPageBreak/>
        <w:t>‘appalling consequences for the quality of justice’.</w:t>
      </w:r>
      <w:r w:rsidR="00F5154A">
        <w:rPr>
          <w:rStyle w:val="FootnoteReference"/>
          <w:rFonts w:cstheme="minorHAnsi"/>
          <w:sz w:val="22"/>
          <w:szCs w:val="22"/>
        </w:rPr>
        <w:footnoteReference w:id="134"/>
      </w:r>
      <w:r w:rsidR="00136E46">
        <w:rPr>
          <w:rFonts w:cstheme="minorHAnsi"/>
          <w:sz w:val="22"/>
          <w:szCs w:val="22"/>
        </w:rPr>
        <w:t xml:space="preserve"> Cast as the ‘nuclear option’,</w:t>
      </w:r>
      <w:r w:rsidR="00136E46">
        <w:rPr>
          <w:rStyle w:val="FootnoteReference"/>
          <w:rFonts w:cstheme="minorHAnsi"/>
          <w:sz w:val="22"/>
          <w:szCs w:val="22"/>
        </w:rPr>
        <w:footnoteReference w:id="135"/>
      </w:r>
      <w:r w:rsidR="00136E46" w:rsidRPr="00F5154A">
        <w:rPr>
          <w:rFonts w:cstheme="minorHAnsi"/>
          <w:sz w:val="22"/>
          <w:szCs w:val="22"/>
        </w:rPr>
        <w:t xml:space="preserve"> </w:t>
      </w:r>
      <w:r w:rsidR="00136E46">
        <w:rPr>
          <w:rFonts w:cstheme="minorHAnsi"/>
          <w:sz w:val="22"/>
          <w:szCs w:val="22"/>
        </w:rPr>
        <w:t xml:space="preserve">those arguing for their imposition are </w:t>
      </w:r>
      <w:r w:rsidR="006E3D2A">
        <w:rPr>
          <w:rFonts w:cstheme="minorHAnsi"/>
          <w:sz w:val="22"/>
          <w:szCs w:val="22"/>
        </w:rPr>
        <w:t>left with little choice but to seek ways of</w:t>
      </w:r>
      <w:r w:rsidR="00136E46">
        <w:rPr>
          <w:rFonts w:cstheme="minorHAnsi"/>
          <w:sz w:val="22"/>
          <w:szCs w:val="22"/>
        </w:rPr>
        <w:t xml:space="preserve"> minimis</w:t>
      </w:r>
      <w:r w:rsidR="006E3D2A">
        <w:rPr>
          <w:rFonts w:cstheme="minorHAnsi"/>
          <w:sz w:val="22"/>
          <w:szCs w:val="22"/>
        </w:rPr>
        <w:t>ing</w:t>
      </w:r>
      <w:r w:rsidR="00136E46">
        <w:rPr>
          <w:rFonts w:cstheme="minorHAnsi"/>
          <w:sz w:val="22"/>
          <w:szCs w:val="22"/>
        </w:rPr>
        <w:t xml:space="preserve"> their use</w:t>
      </w:r>
      <w:r w:rsidR="006E3D2A">
        <w:rPr>
          <w:rFonts w:cstheme="minorHAnsi"/>
          <w:sz w:val="22"/>
          <w:szCs w:val="22"/>
        </w:rPr>
        <w:t>,</w:t>
      </w:r>
      <w:r w:rsidR="00136E46">
        <w:rPr>
          <w:rFonts w:cstheme="minorHAnsi"/>
          <w:sz w:val="22"/>
          <w:szCs w:val="22"/>
        </w:rPr>
        <w:t xml:space="preserve"> arguing for their deployment as a time-limited necessity or a mechanism of last resort turned to when all else has failed.</w:t>
      </w:r>
      <w:r w:rsidR="00136E46">
        <w:rPr>
          <w:rStyle w:val="FootnoteReference"/>
          <w:rFonts w:cstheme="minorHAnsi"/>
          <w:sz w:val="22"/>
          <w:szCs w:val="22"/>
        </w:rPr>
        <w:footnoteReference w:id="136"/>
      </w:r>
    </w:p>
    <w:p w14:paraId="5AC14F06" w14:textId="77777777" w:rsidR="00514C31" w:rsidRDefault="00514C31" w:rsidP="005A57FB">
      <w:pPr>
        <w:spacing w:line="360" w:lineRule="auto"/>
        <w:rPr>
          <w:rFonts w:cstheme="minorHAnsi"/>
          <w:sz w:val="22"/>
          <w:szCs w:val="22"/>
        </w:rPr>
      </w:pPr>
    </w:p>
    <w:p w14:paraId="6F1AA7C6" w14:textId="306F26A1" w:rsidR="006D6499" w:rsidRDefault="00AD3749" w:rsidP="006D6499">
      <w:pPr>
        <w:spacing w:line="360" w:lineRule="auto"/>
        <w:rPr>
          <w:rFonts w:cstheme="minorHAnsi"/>
          <w:sz w:val="22"/>
          <w:szCs w:val="22"/>
        </w:rPr>
      </w:pPr>
      <w:r>
        <w:rPr>
          <w:rFonts w:cstheme="minorHAnsi"/>
          <w:sz w:val="22"/>
          <w:szCs w:val="22"/>
        </w:rPr>
        <w:t>However, the</w:t>
      </w:r>
      <w:r w:rsidR="00527421">
        <w:rPr>
          <w:rFonts w:cstheme="minorHAnsi"/>
          <w:sz w:val="22"/>
          <w:szCs w:val="22"/>
        </w:rPr>
        <w:t xml:space="preserve"> debates prior to the establishment of the</w:t>
      </w:r>
      <w:r w:rsidR="00514C31">
        <w:rPr>
          <w:rFonts w:cstheme="minorHAnsi"/>
          <w:sz w:val="22"/>
          <w:szCs w:val="22"/>
        </w:rPr>
        <w:t xml:space="preserve"> Industrial Court </w:t>
      </w:r>
      <w:r w:rsidR="00583EB0">
        <w:rPr>
          <w:rFonts w:cstheme="minorHAnsi"/>
          <w:sz w:val="22"/>
          <w:szCs w:val="22"/>
        </w:rPr>
        <w:t>provide those arguing for the imposition of quotas</w:t>
      </w:r>
      <w:r w:rsidR="006E3D2A">
        <w:rPr>
          <w:rFonts w:cstheme="minorHAnsi"/>
          <w:sz w:val="22"/>
          <w:szCs w:val="22"/>
        </w:rPr>
        <w:t xml:space="preserve"> </w:t>
      </w:r>
      <w:r w:rsidR="00583EB0">
        <w:rPr>
          <w:rFonts w:cstheme="minorHAnsi"/>
          <w:sz w:val="22"/>
          <w:szCs w:val="22"/>
        </w:rPr>
        <w:t xml:space="preserve">with a </w:t>
      </w:r>
      <w:r w:rsidR="00514C31">
        <w:rPr>
          <w:rFonts w:cstheme="minorHAnsi"/>
          <w:sz w:val="22"/>
          <w:szCs w:val="22"/>
        </w:rPr>
        <w:t xml:space="preserve">different </w:t>
      </w:r>
      <w:r w:rsidR="00583EB0">
        <w:rPr>
          <w:rFonts w:cstheme="minorHAnsi"/>
          <w:sz w:val="22"/>
          <w:szCs w:val="22"/>
        </w:rPr>
        <w:t>narrative</w:t>
      </w:r>
      <w:r w:rsidR="00DF4C18">
        <w:rPr>
          <w:rFonts w:cstheme="minorHAnsi"/>
          <w:sz w:val="22"/>
          <w:szCs w:val="22"/>
        </w:rPr>
        <w:t xml:space="preserve"> – what we might call</w:t>
      </w:r>
      <w:r w:rsidR="00904504">
        <w:rPr>
          <w:rFonts w:cstheme="minorHAnsi"/>
          <w:sz w:val="22"/>
          <w:szCs w:val="22"/>
        </w:rPr>
        <w:t xml:space="preserve"> </w:t>
      </w:r>
      <w:r w:rsidR="00DF4C18">
        <w:rPr>
          <w:rFonts w:cstheme="minorHAnsi"/>
          <w:sz w:val="22"/>
          <w:szCs w:val="22"/>
        </w:rPr>
        <w:t>‘</w:t>
      </w:r>
      <w:r w:rsidR="00904504">
        <w:rPr>
          <w:rFonts w:cstheme="minorHAnsi"/>
          <w:sz w:val="22"/>
          <w:szCs w:val="22"/>
        </w:rPr>
        <w:t xml:space="preserve">the </w:t>
      </w:r>
      <w:r w:rsidR="00730BF7">
        <w:rPr>
          <w:rFonts w:cstheme="minorHAnsi"/>
          <w:sz w:val="22"/>
          <w:szCs w:val="22"/>
        </w:rPr>
        <w:t xml:space="preserve">quality </w:t>
      </w:r>
      <w:r w:rsidR="00583EB0">
        <w:rPr>
          <w:rFonts w:cstheme="minorHAnsi"/>
          <w:sz w:val="22"/>
          <w:szCs w:val="22"/>
        </w:rPr>
        <w:t xml:space="preserve">argument for </w:t>
      </w:r>
      <w:proofErr w:type="gramStart"/>
      <w:r w:rsidR="00583EB0">
        <w:rPr>
          <w:rFonts w:cstheme="minorHAnsi"/>
          <w:sz w:val="22"/>
          <w:szCs w:val="22"/>
        </w:rPr>
        <w:t>quotas</w:t>
      </w:r>
      <w:r w:rsidR="00DF4C18">
        <w:rPr>
          <w:rFonts w:cstheme="minorHAnsi"/>
          <w:sz w:val="22"/>
          <w:szCs w:val="22"/>
        </w:rPr>
        <w:t>’</w:t>
      </w:r>
      <w:proofErr w:type="gramEnd"/>
      <w:r w:rsidR="00583EB0">
        <w:rPr>
          <w:rFonts w:cstheme="minorHAnsi"/>
          <w:sz w:val="22"/>
          <w:szCs w:val="22"/>
        </w:rPr>
        <w:t>.</w:t>
      </w:r>
      <w:r w:rsidR="00514C31">
        <w:rPr>
          <w:rFonts w:cstheme="minorHAnsi"/>
          <w:sz w:val="22"/>
          <w:szCs w:val="22"/>
        </w:rPr>
        <w:t xml:space="preserve"> </w:t>
      </w:r>
      <w:r w:rsidR="00730BF7">
        <w:rPr>
          <w:rFonts w:cstheme="minorHAnsi"/>
          <w:sz w:val="22"/>
          <w:szCs w:val="22"/>
        </w:rPr>
        <w:t>This</w:t>
      </w:r>
      <w:r w:rsidR="00695EB2">
        <w:rPr>
          <w:rFonts w:cstheme="minorHAnsi"/>
          <w:sz w:val="22"/>
          <w:szCs w:val="22"/>
        </w:rPr>
        <w:t xml:space="preserve"> troubles </w:t>
      </w:r>
      <w:r w:rsidR="00425ED1">
        <w:rPr>
          <w:rFonts w:cstheme="minorHAnsi"/>
          <w:sz w:val="22"/>
          <w:szCs w:val="22"/>
        </w:rPr>
        <w:t xml:space="preserve">current arguments for and against the imposition of quotas and upsets assumptions about their purpose and effect. For Shaw and </w:t>
      </w:r>
      <w:proofErr w:type="gramStart"/>
      <w:r w:rsidR="00425ED1">
        <w:rPr>
          <w:rFonts w:cstheme="minorHAnsi"/>
          <w:sz w:val="22"/>
          <w:szCs w:val="22"/>
        </w:rPr>
        <w:t>others</w:t>
      </w:r>
      <w:proofErr w:type="gramEnd"/>
      <w:r w:rsidR="00425ED1">
        <w:rPr>
          <w:rFonts w:cstheme="minorHAnsi"/>
          <w:sz w:val="22"/>
          <w:szCs w:val="22"/>
        </w:rPr>
        <w:t xml:space="preserve"> the imposition of a gender quota in the composition of the Industrial Court was not simply </w:t>
      </w:r>
      <w:r w:rsidR="001B6B22">
        <w:rPr>
          <w:rFonts w:cstheme="minorHAnsi"/>
          <w:sz w:val="22"/>
          <w:szCs w:val="22"/>
        </w:rPr>
        <w:t xml:space="preserve">matter of fairness or </w:t>
      </w:r>
      <w:r w:rsidR="00425ED1">
        <w:rPr>
          <w:rFonts w:cstheme="minorHAnsi"/>
          <w:sz w:val="22"/>
          <w:szCs w:val="22"/>
        </w:rPr>
        <w:t xml:space="preserve">a mechanism to ensure inclusion (though it did this quickly and efficiently), </w:t>
      </w:r>
      <w:r w:rsidR="00B01029">
        <w:rPr>
          <w:rFonts w:cstheme="minorHAnsi"/>
          <w:sz w:val="22"/>
          <w:szCs w:val="22"/>
        </w:rPr>
        <w:t>nor was it simply a matter of ensur</w:t>
      </w:r>
      <w:r w:rsidR="00730BF7">
        <w:rPr>
          <w:rFonts w:cstheme="minorHAnsi"/>
          <w:sz w:val="22"/>
          <w:szCs w:val="22"/>
        </w:rPr>
        <w:t>ing</w:t>
      </w:r>
      <w:r w:rsidR="00B01029">
        <w:rPr>
          <w:rFonts w:cstheme="minorHAnsi"/>
          <w:sz w:val="22"/>
          <w:szCs w:val="22"/>
        </w:rPr>
        <w:t xml:space="preserve"> the legitimacy of, and confidence in, the institution (though it did this too). Rather, the requirement of one or more women in the membership of the court was </w:t>
      </w:r>
      <w:r w:rsidR="00425ED1">
        <w:rPr>
          <w:rFonts w:cstheme="minorHAnsi"/>
          <w:sz w:val="22"/>
          <w:szCs w:val="22"/>
        </w:rPr>
        <w:t xml:space="preserve">a means of ensuring the </w:t>
      </w:r>
      <w:r w:rsidR="00425ED1" w:rsidRPr="001B6B22">
        <w:rPr>
          <w:rFonts w:cstheme="minorHAnsi"/>
          <w:i/>
          <w:iCs/>
          <w:sz w:val="22"/>
          <w:szCs w:val="22"/>
        </w:rPr>
        <w:t>quality</w:t>
      </w:r>
      <w:r w:rsidR="00425ED1">
        <w:rPr>
          <w:rFonts w:cstheme="minorHAnsi"/>
          <w:sz w:val="22"/>
          <w:szCs w:val="22"/>
        </w:rPr>
        <w:t xml:space="preserve"> of the institution</w:t>
      </w:r>
      <w:r w:rsidR="00B01029">
        <w:rPr>
          <w:rFonts w:cstheme="minorHAnsi"/>
          <w:sz w:val="22"/>
          <w:szCs w:val="22"/>
        </w:rPr>
        <w:t xml:space="preserve">al </w:t>
      </w:r>
      <w:r w:rsidR="00B01029" w:rsidRPr="000D7110">
        <w:rPr>
          <w:rFonts w:cstheme="minorHAnsi"/>
          <w:sz w:val="22"/>
          <w:szCs w:val="22"/>
        </w:rPr>
        <w:t>output</w:t>
      </w:r>
      <w:r w:rsidR="00B01029">
        <w:rPr>
          <w:rFonts w:cstheme="minorHAnsi"/>
          <w:sz w:val="22"/>
          <w:szCs w:val="22"/>
        </w:rPr>
        <w:t xml:space="preserve"> – a way of ensuring the decision-making of the Court was the best it could possibly be</w:t>
      </w:r>
      <w:r w:rsidR="006D6499">
        <w:rPr>
          <w:rFonts w:cstheme="minorHAnsi"/>
          <w:sz w:val="22"/>
          <w:szCs w:val="22"/>
        </w:rPr>
        <w:t xml:space="preserve">. </w:t>
      </w:r>
      <w:r w:rsidR="000D7110">
        <w:rPr>
          <w:rFonts w:cstheme="minorHAnsi"/>
          <w:sz w:val="22"/>
          <w:szCs w:val="22"/>
        </w:rPr>
        <w:t>So understood, the</w:t>
      </w:r>
      <w:r w:rsidR="00617258">
        <w:rPr>
          <w:rFonts w:cstheme="minorHAnsi"/>
          <w:sz w:val="22"/>
          <w:szCs w:val="22"/>
        </w:rPr>
        <w:t xml:space="preserve"> quality argument for quotas</w:t>
      </w:r>
      <w:r w:rsidR="00E25059">
        <w:rPr>
          <w:rFonts w:cstheme="minorHAnsi"/>
          <w:sz w:val="22"/>
          <w:szCs w:val="22"/>
        </w:rPr>
        <w:t xml:space="preserve"> avoids the pitfalls of, and challenges to, arguments grounded in the language and frameworks of positive action.</w:t>
      </w:r>
      <w:r w:rsidR="00617258">
        <w:rPr>
          <w:rStyle w:val="FootnoteReference"/>
          <w:rFonts w:cstheme="minorHAnsi"/>
          <w:sz w:val="22"/>
          <w:szCs w:val="22"/>
        </w:rPr>
        <w:footnoteReference w:id="137"/>
      </w:r>
      <w:r w:rsidR="00E25059">
        <w:rPr>
          <w:rFonts w:cstheme="minorHAnsi"/>
          <w:sz w:val="22"/>
          <w:szCs w:val="22"/>
        </w:rPr>
        <w:t xml:space="preserve"> After all, i</w:t>
      </w:r>
      <w:r w:rsidR="00B01029">
        <w:rPr>
          <w:rFonts w:cstheme="minorHAnsi"/>
          <w:sz w:val="22"/>
          <w:szCs w:val="22"/>
        </w:rPr>
        <w:t xml:space="preserve">f a diverse judiciary really is </w:t>
      </w:r>
      <w:r w:rsidR="00AE5454">
        <w:rPr>
          <w:rFonts w:cstheme="minorHAnsi"/>
          <w:sz w:val="22"/>
          <w:szCs w:val="22"/>
        </w:rPr>
        <w:t xml:space="preserve">a </w:t>
      </w:r>
      <w:r w:rsidR="00B01029">
        <w:rPr>
          <w:rFonts w:cstheme="minorHAnsi"/>
          <w:sz w:val="22"/>
          <w:szCs w:val="22"/>
        </w:rPr>
        <w:t>better judiciary</w:t>
      </w:r>
      <w:r w:rsidR="00D71F4E">
        <w:rPr>
          <w:rFonts w:cstheme="minorHAnsi"/>
          <w:sz w:val="22"/>
          <w:szCs w:val="22"/>
        </w:rPr>
        <w:t xml:space="preserve"> – if</w:t>
      </w:r>
      <w:r w:rsidR="00902F72">
        <w:rPr>
          <w:rFonts w:cstheme="minorHAnsi"/>
          <w:sz w:val="22"/>
          <w:szCs w:val="22"/>
        </w:rPr>
        <w:t xml:space="preserve"> </w:t>
      </w:r>
      <w:r w:rsidR="00902F72" w:rsidRPr="00CF3BD1">
        <w:rPr>
          <w:sz w:val="22"/>
        </w:rPr>
        <w:t>the more varied the perspectives and experiences that are involved in its decision-making</w:t>
      </w:r>
      <w:r w:rsidR="00D71F4E">
        <w:rPr>
          <w:rFonts w:cstheme="minorHAnsi"/>
          <w:sz w:val="22"/>
          <w:szCs w:val="22"/>
        </w:rPr>
        <w:t xml:space="preserve">, the </w:t>
      </w:r>
      <w:r w:rsidR="00902F72">
        <w:rPr>
          <w:sz w:val="22"/>
        </w:rPr>
        <w:t xml:space="preserve">better able </w:t>
      </w:r>
      <w:r w:rsidR="00D71F4E">
        <w:rPr>
          <w:sz w:val="22"/>
        </w:rPr>
        <w:t xml:space="preserve">the court is </w:t>
      </w:r>
      <w:r w:rsidR="00902F72">
        <w:rPr>
          <w:sz w:val="22"/>
        </w:rPr>
        <w:t xml:space="preserve">to do its job, to deliver justice </w:t>
      </w:r>
      <w:r w:rsidR="00B01029">
        <w:rPr>
          <w:rFonts w:cstheme="minorHAnsi"/>
          <w:sz w:val="22"/>
          <w:szCs w:val="22"/>
        </w:rPr>
        <w:t>– then,</w:t>
      </w:r>
      <w:r w:rsidR="00E25059">
        <w:rPr>
          <w:rFonts w:cstheme="minorHAnsi"/>
          <w:sz w:val="22"/>
          <w:szCs w:val="22"/>
        </w:rPr>
        <w:t xml:space="preserve"> quotas framed as ‘a</w:t>
      </w:r>
      <w:r w:rsidR="00690C02">
        <w:rPr>
          <w:rFonts w:cstheme="minorHAnsi"/>
          <w:sz w:val="22"/>
          <w:szCs w:val="22"/>
        </w:rPr>
        <w:t xml:space="preserve"> </w:t>
      </w:r>
      <w:r w:rsidR="00690C02" w:rsidRPr="0023054C">
        <w:rPr>
          <w:rFonts w:cstheme="minorHAnsi"/>
          <w:sz w:val="22"/>
          <w:szCs w:val="22"/>
        </w:rPr>
        <w:t>ceiling designed to cap the over-representation of dominant identity groups (who by the law of statistical averages will not all be as good as the best of those excluded)</w:t>
      </w:r>
      <w:r w:rsidR="00E25059">
        <w:rPr>
          <w:rFonts w:cstheme="minorHAnsi"/>
          <w:sz w:val="22"/>
          <w:szCs w:val="22"/>
        </w:rPr>
        <w:t>’</w:t>
      </w:r>
      <w:r w:rsidR="00690C02">
        <w:rPr>
          <w:rStyle w:val="FootnoteReference"/>
          <w:rFonts w:cstheme="minorHAnsi"/>
          <w:sz w:val="22"/>
          <w:szCs w:val="22"/>
        </w:rPr>
        <w:footnoteReference w:id="138"/>
      </w:r>
      <w:r w:rsidR="00E25059">
        <w:rPr>
          <w:rFonts w:cstheme="minorHAnsi"/>
          <w:sz w:val="22"/>
          <w:szCs w:val="22"/>
        </w:rPr>
        <w:t xml:space="preserve"> </w:t>
      </w:r>
      <w:r w:rsidR="00690C02">
        <w:rPr>
          <w:rFonts w:cstheme="minorHAnsi"/>
          <w:sz w:val="22"/>
          <w:szCs w:val="22"/>
        </w:rPr>
        <w:t xml:space="preserve">not only ensure the </w:t>
      </w:r>
      <w:r w:rsidR="00690C02" w:rsidRPr="006D6499">
        <w:rPr>
          <w:rFonts w:cstheme="minorHAnsi"/>
          <w:sz w:val="22"/>
          <w:szCs w:val="22"/>
        </w:rPr>
        <w:t>quality</w:t>
      </w:r>
      <w:r w:rsidR="00690C02">
        <w:rPr>
          <w:rFonts w:cstheme="minorHAnsi"/>
          <w:sz w:val="22"/>
          <w:szCs w:val="22"/>
        </w:rPr>
        <w:t xml:space="preserve"> (or, if you like, the ‘merit’) of the </w:t>
      </w:r>
      <w:r w:rsidR="00690C02" w:rsidRPr="002D24B7">
        <w:rPr>
          <w:rFonts w:cstheme="minorHAnsi"/>
          <w:i/>
          <w:iCs/>
          <w:sz w:val="22"/>
          <w:szCs w:val="22"/>
        </w:rPr>
        <w:t>individuals</w:t>
      </w:r>
      <w:r w:rsidR="00690C02">
        <w:rPr>
          <w:rFonts w:cstheme="minorHAnsi"/>
          <w:sz w:val="22"/>
          <w:szCs w:val="22"/>
        </w:rPr>
        <w:t xml:space="preserve"> appointed, as </w:t>
      </w:r>
      <w:proofErr w:type="spellStart"/>
      <w:r w:rsidR="00690C02">
        <w:rPr>
          <w:rFonts w:cstheme="minorHAnsi"/>
          <w:sz w:val="22"/>
          <w:szCs w:val="22"/>
        </w:rPr>
        <w:t>Malleson</w:t>
      </w:r>
      <w:proofErr w:type="spellEnd"/>
      <w:r w:rsidR="00690C02">
        <w:rPr>
          <w:rFonts w:cstheme="minorHAnsi"/>
          <w:sz w:val="22"/>
          <w:szCs w:val="22"/>
        </w:rPr>
        <w:t xml:space="preserve"> has rightly argued, but</w:t>
      </w:r>
      <w:r w:rsidR="00D71F4E">
        <w:rPr>
          <w:rFonts w:cstheme="minorHAnsi"/>
          <w:sz w:val="22"/>
          <w:szCs w:val="22"/>
        </w:rPr>
        <w:t>,</w:t>
      </w:r>
      <w:r w:rsidR="00690C02">
        <w:rPr>
          <w:rFonts w:cstheme="minorHAnsi"/>
          <w:sz w:val="22"/>
          <w:szCs w:val="22"/>
        </w:rPr>
        <w:t xml:space="preserve"> insofar as they </w:t>
      </w:r>
      <w:r w:rsidR="00487E5B">
        <w:rPr>
          <w:rFonts w:cstheme="minorHAnsi"/>
          <w:sz w:val="22"/>
          <w:szCs w:val="22"/>
        </w:rPr>
        <w:t>require</w:t>
      </w:r>
      <w:r w:rsidR="00690C02">
        <w:rPr>
          <w:rFonts w:cstheme="minorHAnsi"/>
          <w:sz w:val="22"/>
          <w:szCs w:val="22"/>
        </w:rPr>
        <w:t xml:space="preserve"> </w:t>
      </w:r>
      <w:r w:rsidR="00487E5B">
        <w:rPr>
          <w:rFonts w:cstheme="minorHAnsi"/>
          <w:sz w:val="22"/>
          <w:szCs w:val="22"/>
        </w:rPr>
        <w:t xml:space="preserve">judges to be </w:t>
      </w:r>
      <w:r w:rsidR="00690C02">
        <w:rPr>
          <w:rFonts w:cstheme="minorHAnsi"/>
          <w:sz w:val="22"/>
          <w:szCs w:val="22"/>
        </w:rPr>
        <w:t>divers</w:t>
      </w:r>
      <w:r w:rsidR="00487E5B">
        <w:rPr>
          <w:rFonts w:cstheme="minorHAnsi"/>
          <w:sz w:val="22"/>
          <w:szCs w:val="22"/>
        </w:rPr>
        <w:t>e as a collective</w:t>
      </w:r>
      <w:r w:rsidR="00D71F4E">
        <w:rPr>
          <w:rFonts w:cstheme="minorHAnsi"/>
          <w:sz w:val="22"/>
          <w:szCs w:val="22"/>
        </w:rPr>
        <w:t>,</w:t>
      </w:r>
      <w:r w:rsidR="00617258">
        <w:rPr>
          <w:rFonts w:cstheme="minorHAnsi"/>
          <w:sz w:val="22"/>
          <w:szCs w:val="22"/>
        </w:rPr>
        <w:t xml:space="preserve"> they</w:t>
      </w:r>
      <w:r w:rsidR="002D24B7">
        <w:rPr>
          <w:rFonts w:cstheme="minorHAnsi"/>
          <w:sz w:val="22"/>
          <w:szCs w:val="22"/>
        </w:rPr>
        <w:t xml:space="preserve"> </w:t>
      </w:r>
      <w:r w:rsidR="00487E5B">
        <w:rPr>
          <w:rFonts w:cstheme="minorHAnsi"/>
          <w:sz w:val="22"/>
          <w:szCs w:val="22"/>
        </w:rPr>
        <w:t>ensure</w:t>
      </w:r>
      <w:r w:rsidR="002D24B7">
        <w:rPr>
          <w:rFonts w:cstheme="minorHAnsi"/>
          <w:sz w:val="22"/>
          <w:szCs w:val="22"/>
        </w:rPr>
        <w:t xml:space="preserve"> the quality of the </w:t>
      </w:r>
      <w:r w:rsidR="002D24B7" w:rsidRPr="002D24B7">
        <w:rPr>
          <w:rFonts w:cstheme="minorHAnsi"/>
          <w:i/>
          <w:iCs/>
          <w:sz w:val="22"/>
          <w:szCs w:val="22"/>
        </w:rPr>
        <w:t>judiciary as a whole</w:t>
      </w:r>
      <w:r w:rsidR="00487E5B">
        <w:rPr>
          <w:rFonts w:cstheme="minorHAnsi"/>
          <w:sz w:val="22"/>
          <w:szCs w:val="22"/>
        </w:rPr>
        <w:t xml:space="preserve">. Quotas </w:t>
      </w:r>
      <w:r w:rsidR="00D82555">
        <w:rPr>
          <w:rFonts w:cstheme="minorHAnsi"/>
          <w:sz w:val="22"/>
          <w:szCs w:val="22"/>
        </w:rPr>
        <w:t xml:space="preserve">lead to </w:t>
      </w:r>
      <w:r w:rsidR="00D82555" w:rsidRPr="00902F72">
        <w:rPr>
          <w:rFonts w:cstheme="minorHAnsi"/>
          <w:i/>
          <w:iCs/>
          <w:sz w:val="22"/>
          <w:szCs w:val="22"/>
        </w:rPr>
        <w:t>better</w:t>
      </w:r>
      <w:r w:rsidR="00D82555">
        <w:rPr>
          <w:rFonts w:cstheme="minorHAnsi"/>
          <w:sz w:val="22"/>
          <w:szCs w:val="22"/>
        </w:rPr>
        <w:t xml:space="preserve"> </w:t>
      </w:r>
      <w:r w:rsidR="00487E5B">
        <w:rPr>
          <w:rFonts w:cstheme="minorHAnsi"/>
          <w:sz w:val="22"/>
          <w:szCs w:val="22"/>
        </w:rPr>
        <w:t>judging,</w:t>
      </w:r>
      <w:r>
        <w:rPr>
          <w:rFonts w:cstheme="minorHAnsi"/>
          <w:sz w:val="22"/>
          <w:szCs w:val="22"/>
        </w:rPr>
        <w:t xml:space="preserve"> to</w:t>
      </w:r>
      <w:r w:rsidR="00487E5B">
        <w:rPr>
          <w:rFonts w:cstheme="minorHAnsi"/>
          <w:sz w:val="22"/>
          <w:szCs w:val="22"/>
        </w:rPr>
        <w:t xml:space="preserve"> </w:t>
      </w:r>
      <w:r w:rsidR="00487E5B" w:rsidRPr="00AD3749">
        <w:rPr>
          <w:rFonts w:cstheme="minorHAnsi"/>
          <w:i/>
          <w:iCs/>
          <w:sz w:val="22"/>
          <w:szCs w:val="22"/>
        </w:rPr>
        <w:t>better</w:t>
      </w:r>
      <w:r w:rsidR="00487E5B">
        <w:rPr>
          <w:rFonts w:cstheme="minorHAnsi"/>
          <w:sz w:val="22"/>
          <w:szCs w:val="22"/>
        </w:rPr>
        <w:t xml:space="preserve"> judicial </w:t>
      </w:r>
      <w:r w:rsidR="00D82555">
        <w:rPr>
          <w:rFonts w:cstheme="minorHAnsi"/>
          <w:sz w:val="22"/>
          <w:szCs w:val="22"/>
        </w:rPr>
        <w:t>decision-making.</w:t>
      </w:r>
      <w:r w:rsidR="00617258">
        <w:rPr>
          <w:rFonts w:cstheme="minorHAnsi"/>
          <w:sz w:val="22"/>
          <w:szCs w:val="22"/>
        </w:rPr>
        <w:t xml:space="preserve"> </w:t>
      </w:r>
      <w:r w:rsidR="00D82555">
        <w:rPr>
          <w:rFonts w:cstheme="minorHAnsi"/>
          <w:sz w:val="22"/>
          <w:szCs w:val="22"/>
        </w:rPr>
        <w:t xml:space="preserve">So viewed, quotas are not simply ‘an intrinsic, essential and ongoing requirement of a merit-based </w:t>
      </w:r>
      <w:r w:rsidR="00D82555" w:rsidRPr="00904504">
        <w:rPr>
          <w:rFonts w:cstheme="minorHAnsi"/>
          <w:i/>
          <w:iCs/>
          <w:sz w:val="22"/>
          <w:szCs w:val="22"/>
        </w:rPr>
        <w:t>appointments</w:t>
      </w:r>
      <w:r w:rsidR="00D82555">
        <w:rPr>
          <w:rFonts w:cstheme="minorHAnsi"/>
          <w:sz w:val="22"/>
          <w:szCs w:val="22"/>
        </w:rPr>
        <w:t xml:space="preserve"> system’</w:t>
      </w:r>
      <w:r>
        <w:rPr>
          <w:rFonts w:cstheme="minorHAnsi"/>
          <w:sz w:val="22"/>
          <w:szCs w:val="22"/>
        </w:rPr>
        <w:t>,</w:t>
      </w:r>
      <w:r w:rsidR="00D82555">
        <w:rPr>
          <w:rStyle w:val="FootnoteReference"/>
          <w:rFonts w:cstheme="minorHAnsi"/>
          <w:sz w:val="22"/>
          <w:szCs w:val="22"/>
        </w:rPr>
        <w:footnoteReference w:id="139"/>
      </w:r>
      <w:r>
        <w:rPr>
          <w:rFonts w:cstheme="minorHAnsi"/>
          <w:sz w:val="22"/>
          <w:szCs w:val="22"/>
        </w:rPr>
        <w:t xml:space="preserve"> but</w:t>
      </w:r>
      <w:r w:rsidR="00D82555" w:rsidRPr="00D82555">
        <w:rPr>
          <w:rFonts w:cstheme="minorHAnsi"/>
          <w:sz w:val="22"/>
          <w:szCs w:val="22"/>
        </w:rPr>
        <w:t xml:space="preserve"> vital to </w:t>
      </w:r>
      <w:r w:rsidR="00D82555">
        <w:rPr>
          <w:rFonts w:cstheme="minorHAnsi"/>
          <w:sz w:val="22"/>
          <w:szCs w:val="22"/>
        </w:rPr>
        <w:t>ensur</w:t>
      </w:r>
      <w:r w:rsidR="009B6722">
        <w:rPr>
          <w:rFonts w:cstheme="minorHAnsi"/>
          <w:sz w:val="22"/>
          <w:szCs w:val="22"/>
        </w:rPr>
        <w:t>ing</w:t>
      </w:r>
      <w:r w:rsidR="00D82555">
        <w:rPr>
          <w:rFonts w:cstheme="minorHAnsi"/>
          <w:sz w:val="22"/>
          <w:szCs w:val="22"/>
        </w:rPr>
        <w:t xml:space="preserve"> the judicial </w:t>
      </w:r>
      <w:r w:rsidR="00902F72" w:rsidRPr="00902F72">
        <w:rPr>
          <w:rFonts w:cstheme="minorHAnsi"/>
          <w:sz w:val="22"/>
          <w:szCs w:val="22"/>
        </w:rPr>
        <w:t>product</w:t>
      </w:r>
      <w:r w:rsidR="00D82555">
        <w:rPr>
          <w:rFonts w:cstheme="minorHAnsi"/>
          <w:sz w:val="22"/>
          <w:szCs w:val="22"/>
        </w:rPr>
        <w:t xml:space="preserve"> is the best it can be</w:t>
      </w:r>
      <w:r w:rsidR="000D7110">
        <w:rPr>
          <w:rFonts w:cstheme="minorHAnsi"/>
          <w:sz w:val="22"/>
          <w:szCs w:val="22"/>
        </w:rPr>
        <w:t xml:space="preserve">, </w:t>
      </w:r>
      <w:r w:rsidR="00902F72">
        <w:rPr>
          <w:rFonts w:cstheme="minorHAnsi"/>
          <w:sz w:val="22"/>
          <w:szCs w:val="22"/>
        </w:rPr>
        <w:t xml:space="preserve">to </w:t>
      </w:r>
      <w:r w:rsidR="009B6722">
        <w:rPr>
          <w:rFonts w:cstheme="minorHAnsi"/>
          <w:sz w:val="22"/>
          <w:szCs w:val="22"/>
        </w:rPr>
        <w:t xml:space="preserve">achieving </w:t>
      </w:r>
      <w:r w:rsidR="00902F72">
        <w:rPr>
          <w:rFonts w:cstheme="minorHAnsi"/>
          <w:sz w:val="22"/>
          <w:szCs w:val="22"/>
        </w:rPr>
        <w:t xml:space="preserve">better justice </w:t>
      </w:r>
      <w:r w:rsidR="00D82555" w:rsidRPr="00CF3BD1">
        <w:rPr>
          <w:sz w:val="22"/>
        </w:rPr>
        <w:t>and the best outcome</w:t>
      </w:r>
      <w:r w:rsidR="009B6722">
        <w:rPr>
          <w:sz w:val="22"/>
        </w:rPr>
        <w:t>s</w:t>
      </w:r>
      <w:r w:rsidR="00D82555" w:rsidRPr="00CF3BD1">
        <w:rPr>
          <w:sz w:val="22"/>
        </w:rPr>
        <w:t xml:space="preserve"> for society</w:t>
      </w:r>
      <w:r w:rsidR="00D82555">
        <w:rPr>
          <w:sz w:val="22"/>
        </w:rPr>
        <w:t>.</w:t>
      </w:r>
      <w:r w:rsidR="00D82555">
        <w:rPr>
          <w:rFonts w:cstheme="minorHAnsi"/>
          <w:sz w:val="22"/>
          <w:szCs w:val="22"/>
        </w:rPr>
        <w:t xml:space="preserve"> </w:t>
      </w:r>
      <w:r w:rsidR="006D6499">
        <w:rPr>
          <w:rFonts w:cstheme="minorHAnsi"/>
          <w:sz w:val="22"/>
          <w:szCs w:val="22"/>
        </w:rPr>
        <w:t>Merit and quotas, just like quality and diversity, go hand in hand</w:t>
      </w:r>
      <w:r w:rsidR="00D82555">
        <w:rPr>
          <w:rFonts w:cstheme="minorHAnsi"/>
          <w:sz w:val="22"/>
          <w:szCs w:val="22"/>
        </w:rPr>
        <w:t xml:space="preserve"> with t</w:t>
      </w:r>
      <w:r w:rsidR="00D82555">
        <w:rPr>
          <w:sz w:val="22"/>
        </w:rPr>
        <w:t>he common aim of ensuring that our judiciary is the best it can be.</w:t>
      </w:r>
    </w:p>
    <w:p w14:paraId="62DDD0C5" w14:textId="23880456" w:rsidR="00A7145C" w:rsidRDefault="00A7145C" w:rsidP="007D2400">
      <w:pPr>
        <w:spacing w:line="360" w:lineRule="auto"/>
        <w:rPr>
          <w:rFonts w:cstheme="minorHAnsi"/>
          <w:sz w:val="22"/>
          <w:szCs w:val="22"/>
        </w:rPr>
      </w:pPr>
    </w:p>
    <w:p w14:paraId="341B2AB7" w14:textId="36FCF841" w:rsidR="00A7145C" w:rsidRPr="00C61C0E" w:rsidRDefault="00A7145C" w:rsidP="00B732B2">
      <w:pPr>
        <w:spacing w:line="360" w:lineRule="auto"/>
        <w:jc w:val="center"/>
        <w:rPr>
          <w:rFonts w:cstheme="minorHAnsi"/>
          <w:b/>
          <w:bCs/>
          <w:sz w:val="22"/>
          <w:szCs w:val="22"/>
        </w:rPr>
      </w:pPr>
      <w:r w:rsidRPr="00C61C0E">
        <w:rPr>
          <w:rFonts w:cstheme="minorHAnsi"/>
          <w:b/>
          <w:bCs/>
          <w:sz w:val="22"/>
          <w:szCs w:val="22"/>
        </w:rPr>
        <w:t>VI</w:t>
      </w:r>
      <w:r w:rsidR="00C61C0E" w:rsidRPr="00C61C0E">
        <w:rPr>
          <w:rFonts w:cstheme="minorHAnsi"/>
          <w:b/>
          <w:bCs/>
          <w:sz w:val="22"/>
          <w:szCs w:val="22"/>
        </w:rPr>
        <w:t xml:space="preserve">. THE PROMISE OF FEMINIST LEGAL HISTORY </w:t>
      </w:r>
    </w:p>
    <w:p w14:paraId="5CD7B759" w14:textId="77777777" w:rsidR="004A5BA7" w:rsidRDefault="004A5BA7" w:rsidP="007D2400">
      <w:pPr>
        <w:spacing w:line="360" w:lineRule="auto"/>
        <w:rPr>
          <w:rFonts w:cstheme="minorHAnsi"/>
          <w:sz w:val="22"/>
          <w:szCs w:val="22"/>
        </w:rPr>
      </w:pPr>
    </w:p>
    <w:p w14:paraId="7732A5CE" w14:textId="1359B880" w:rsidR="009D320D" w:rsidRDefault="008C5F32" w:rsidP="003D4158">
      <w:pPr>
        <w:spacing w:line="360" w:lineRule="auto"/>
        <w:rPr>
          <w:rFonts w:cstheme="minorHAnsi"/>
          <w:sz w:val="22"/>
          <w:szCs w:val="22"/>
        </w:rPr>
      </w:pPr>
      <w:r>
        <w:rPr>
          <w:rFonts w:cstheme="minorHAnsi"/>
          <w:sz w:val="22"/>
          <w:szCs w:val="22"/>
        </w:rPr>
        <w:t xml:space="preserve">So where does this leave us? </w:t>
      </w:r>
    </w:p>
    <w:p w14:paraId="37F4BD9C" w14:textId="77777777" w:rsidR="009D320D" w:rsidRDefault="009D320D" w:rsidP="00DC5DE7">
      <w:pPr>
        <w:spacing w:line="360" w:lineRule="auto"/>
        <w:rPr>
          <w:rFonts w:cstheme="minorHAnsi"/>
          <w:sz w:val="22"/>
          <w:szCs w:val="22"/>
        </w:rPr>
      </w:pPr>
    </w:p>
    <w:p w14:paraId="5C28FC2E" w14:textId="77777777" w:rsidR="001B6B22" w:rsidRDefault="00DC5DE7" w:rsidP="002609A3">
      <w:pPr>
        <w:spacing w:line="360" w:lineRule="auto"/>
        <w:rPr>
          <w:rFonts w:cstheme="minorHAnsi"/>
          <w:sz w:val="22"/>
          <w:szCs w:val="22"/>
        </w:rPr>
      </w:pPr>
      <w:r>
        <w:rPr>
          <w:rFonts w:cstheme="minorHAnsi"/>
          <w:sz w:val="22"/>
          <w:szCs w:val="22"/>
        </w:rPr>
        <w:t>A</w:t>
      </w:r>
      <w:r w:rsidRPr="008C5F32">
        <w:rPr>
          <w:rFonts w:cstheme="minorHAnsi"/>
          <w:sz w:val="22"/>
          <w:szCs w:val="22"/>
        </w:rPr>
        <w:t>nchored in a commitment</w:t>
      </w:r>
      <w:r>
        <w:rPr>
          <w:rFonts w:cstheme="minorHAnsi"/>
          <w:sz w:val="22"/>
          <w:szCs w:val="22"/>
        </w:rPr>
        <w:t xml:space="preserve"> </w:t>
      </w:r>
      <w:r w:rsidRPr="008C5F32">
        <w:rPr>
          <w:rFonts w:cstheme="minorHAnsi"/>
          <w:sz w:val="22"/>
          <w:szCs w:val="22"/>
        </w:rPr>
        <w:t xml:space="preserve">to disciplinary, </w:t>
      </w:r>
      <w:proofErr w:type="gramStart"/>
      <w:r w:rsidRPr="008C5F32">
        <w:rPr>
          <w:rFonts w:cstheme="minorHAnsi"/>
          <w:sz w:val="22"/>
          <w:szCs w:val="22"/>
        </w:rPr>
        <w:t>social</w:t>
      </w:r>
      <w:proofErr w:type="gramEnd"/>
      <w:r w:rsidRPr="008C5F32">
        <w:rPr>
          <w:rFonts w:cstheme="minorHAnsi"/>
          <w:sz w:val="22"/>
          <w:szCs w:val="22"/>
        </w:rPr>
        <w:t xml:space="preserve"> and political change, </w:t>
      </w:r>
      <w:r>
        <w:rPr>
          <w:rFonts w:cstheme="minorHAnsi"/>
          <w:sz w:val="22"/>
          <w:szCs w:val="22"/>
        </w:rPr>
        <w:t>feminist legal history</w:t>
      </w:r>
      <w:r w:rsidRPr="008C5F32">
        <w:rPr>
          <w:rFonts w:cstheme="minorHAnsi"/>
          <w:sz w:val="22"/>
          <w:szCs w:val="22"/>
        </w:rPr>
        <w:t xml:space="preserve"> seeks</w:t>
      </w:r>
      <w:r>
        <w:rPr>
          <w:rFonts w:cstheme="minorHAnsi"/>
          <w:sz w:val="22"/>
          <w:szCs w:val="22"/>
        </w:rPr>
        <w:t xml:space="preserve"> </w:t>
      </w:r>
      <w:r w:rsidRPr="008C5F32">
        <w:rPr>
          <w:rFonts w:cstheme="minorHAnsi"/>
          <w:sz w:val="22"/>
          <w:szCs w:val="22"/>
        </w:rPr>
        <w:t>not only to uncover new histories,</w:t>
      </w:r>
      <w:r>
        <w:rPr>
          <w:rFonts w:cstheme="minorHAnsi"/>
          <w:sz w:val="22"/>
          <w:szCs w:val="22"/>
        </w:rPr>
        <w:t xml:space="preserve"> </w:t>
      </w:r>
      <w:r w:rsidRPr="008C5F32">
        <w:rPr>
          <w:rFonts w:cstheme="minorHAnsi"/>
          <w:sz w:val="22"/>
          <w:szCs w:val="22"/>
        </w:rPr>
        <w:t>but also to challenge, and ultimately transform, our understandings of the</w:t>
      </w:r>
      <w:r>
        <w:rPr>
          <w:rFonts w:cstheme="minorHAnsi"/>
          <w:sz w:val="22"/>
          <w:szCs w:val="22"/>
        </w:rPr>
        <w:t xml:space="preserve"> </w:t>
      </w:r>
      <w:r w:rsidRPr="008C5F32">
        <w:rPr>
          <w:rFonts w:cstheme="minorHAnsi"/>
          <w:sz w:val="22"/>
          <w:szCs w:val="22"/>
        </w:rPr>
        <w:t>past</w:t>
      </w:r>
      <w:r w:rsidR="00902F72">
        <w:rPr>
          <w:rFonts w:cstheme="minorHAnsi"/>
          <w:sz w:val="22"/>
          <w:szCs w:val="22"/>
        </w:rPr>
        <w:t xml:space="preserve">, </w:t>
      </w:r>
      <w:r w:rsidRPr="008C5F32">
        <w:rPr>
          <w:rFonts w:cstheme="minorHAnsi"/>
          <w:sz w:val="22"/>
          <w:szCs w:val="22"/>
        </w:rPr>
        <w:t xml:space="preserve">present </w:t>
      </w:r>
      <w:r w:rsidR="00902F72">
        <w:rPr>
          <w:rFonts w:cstheme="minorHAnsi"/>
          <w:sz w:val="22"/>
          <w:szCs w:val="22"/>
        </w:rPr>
        <w:t>and</w:t>
      </w:r>
      <w:r w:rsidRPr="008C5F32">
        <w:rPr>
          <w:rFonts w:cstheme="minorHAnsi"/>
          <w:sz w:val="22"/>
          <w:szCs w:val="22"/>
        </w:rPr>
        <w:t xml:space="preserve"> future.</w:t>
      </w:r>
      <w:r>
        <w:rPr>
          <w:rFonts w:cstheme="minorHAnsi"/>
          <w:sz w:val="22"/>
          <w:szCs w:val="22"/>
        </w:rPr>
        <w:t xml:space="preserve"> The Industrial Court is a case in point. </w:t>
      </w:r>
    </w:p>
    <w:p w14:paraId="02798C5D" w14:textId="77777777" w:rsidR="001B6B22" w:rsidRDefault="001B6B22" w:rsidP="002609A3">
      <w:pPr>
        <w:spacing w:line="360" w:lineRule="auto"/>
        <w:rPr>
          <w:rFonts w:cstheme="minorHAnsi"/>
          <w:sz w:val="22"/>
          <w:szCs w:val="22"/>
        </w:rPr>
      </w:pPr>
    </w:p>
    <w:p w14:paraId="51A07D09" w14:textId="4CC465C9" w:rsidR="00DC5DE7" w:rsidRDefault="002609A3" w:rsidP="002609A3">
      <w:pPr>
        <w:spacing w:line="360" w:lineRule="auto"/>
        <w:rPr>
          <w:rFonts w:cstheme="minorHAnsi"/>
          <w:sz w:val="22"/>
          <w:szCs w:val="22"/>
        </w:rPr>
      </w:pPr>
      <w:r>
        <w:rPr>
          <w:rFonts w:cstheme="minorHAnsi"/>
          <w:sz w:val="22"/>
          <w:szCs w:val="22"/>
        </w:rPr>
        <w:t xml:space="preserve">Of course, we’ll never know exactly happened during the Industrial Court debates in November 1919. </w:t>
      </w:r>
      <w:r w:rsidR="001B619F">
        <w:rPr>
          <w:rFonts w:cstheme="minorHAnsi"/>
          <w:sz w:val="22"/>
          <w:szCs w:val="22"/>
        </w:rPr>
        <w:t xml:space="preserve">We don’t know about </w:t>
      </w:r>
      <w:r>
        <w:rPr>
          <w:rFonts w:cstheme="minorHAnsi"/>
          <w:sz w:val="22"/>
          <w:szCs w:val="22"/>
        </w:rPr>
        <w:t xml:space="preserve">conversations had in the lobby, or deals done elsewhere. Hansard and </w:t>
      </w:r>
      <w:r w:rsidR="00902F72">
        <w:rPr>
          <w:rFonts w:cstheme="minorHAnsi"/>
          <w:sz w:val="22"/>
          <w:szCs w:val="22"/>
        </w:rPr>
        <w:t>archival research</w:t>
      </w:r>
      <w:r>
        <w:rPr>
          <w:rFonts w:cstheme="minorHAnsi"/>
          <w:sz w:val="22"/>
          <w:szCs w:val="22"/>
        </w:rPr>
        <w:t xml:space="preserve"> can only tell us so much. </w:t>
      </w:r>
      <w:r w:rsidR="00DC5DE7">
        <w:rPr>
          <w:rFonts w:cstheme="minorHAnsi"/>
          <w:sz w:val="22"/>
          <w:szCs w:val="22"/>
        </w:rPr>
        <w:t>But</w:t>
      </w:r>
      <w:r w:rsidR="001B619F">
        <w:rPr>
          <w:rFonts w:cstheme="minorHAnsi"/>
          <w:sz w:val="22"/>
          <w:szCs w:val="22"/>
        </w:rPr>
        <w:t>, in seeking out forgotten narratives</w:t>
      </w:r>
      <w:r w:rsidR="007051FD">
        <w:rPr>
          <w:rFonts w:cstheme="minorHAnsi"/>
          <w:sz w:val="22"/>
          <w:szCs w:val="22"/>
        </w:rPr>
        <w:t>,</w:t>
      </w:r>
      <w:r w:rsidR="00DC5DE7">
        <w:rPr>
          <w:rFonts w:cstheme="minorHAnsi"/>
          <w:sz w:val="22"/>
          <w:szCs w:val="22"/>
        </w:rPr>
        <w:t xml:space="preserve"> we do know</w:t>
      </w:r>
      <w:r w:rsidR="00904504">
        <w:rPr>
          <w:rFonts w:cstheme="minorHAnsi"/>
          <w:sz w:val="22"/>
          <w:szCs w:val="22"/>
        </w:rPr>
        <w:t xml:space="preserve"> the</w:t>
      </w:r>
      <w:r w:rsidR="00DC5DE7">
        <w:rPr>
          <w:rFonts w:cstheme="minorHAnsi"/>
          <w:sz w:val="22"/>
          <w:szCs w:val="22"/>
        </w:rPr>
        <w:t xml:space="preserve"> </w:t>
      </w:r>
      <w:r>
        <w:rPr>
          <w:rFonts w:cstheme="minorHAnsi"/>
          <w:sz w:val="22"/>
          <w:szCs w:val="22"/>
        </w:rPr>
        <w:t xml:space="preserve">quality argument for diversity was made. </w:t>
      </w:r>
      <w:proofErr w:type="gramStart"/>
      <w:r w:rsidR="009B6722">
        <w:rPr>
          <w:rFonts w:cstheme="minorHAnsi"/>
          <w:sz w:val="22"/>
          <w:szCs w:val="22"/>
        </w:rPr>
        <w:t>Indeed</w:t>
      </w:r>
      <w:proofErr w:type="gramEnd"/>
      <w:r w:rsidR="009B6722">
        <w:rPr>
          <w:rFonts w:cstheme="minorHAnsi"/>
          <w:sz w:val="22"/>
          <w:szCs w:val="22"/>
        </w:rPr>
        <w:t xml:space="preserve"> w</w:t>
      </w:r>
      <w:r w:rsidR="00904504">
        <w:rPr>
          <w:rFonts w:cstheme="minorHAnsi"/>
          <w:sz w:val="22"/>
          <w:szCs w:val="22"/>
        </w:rPr>
        <w:t>e</w:t>
      </w:r>
      <w:r w:rsidR="00DC5DE7">
        <w:rPr>
          <w:rFonts w:cstheme="minorHAnsi"/>
          <w:sz w:val="22"/>
          <w:szCs w:val="22"/>
        </w:rPr>
        <w:t xml:space="preserve"> know that – in contrast to debates about judicial diversity today – the quality argument was key part of the debate</w:t>
      </w:r>
      <w:r w:rsidR="00902F72">
        <w:rPr>
          <w:rFonts w:cstheme="minorHAnsi"/>
          <w:sz w:val="22"/>
          <w:szCs w:val="22"/>
        </w:rPr>
        <w:t xml:space="preserve"> for women’s inclusion on the Court. </w:t>
      </w:r>
      <w:r w:rsidR="009B6722">
        <w:rPr>
          <w:rFonts w:cstheme="minorHAnsi"/>
          <w:sz w:val="22"/>
          <w:szCs w:val="22"/>
        </w:rPr>
        <w:t>W</w:t>
      </w:r>
      <w:r w:rsidR="00902F72">
        <w:rPr>
          <w:rFonts w:cstheme="minorHAnsi"/>
          <w:sz w:val="22"/>
          <w:szCs w:val="22"/>
        </w:rPr>
        <w:t>omen’s presence and the values, insights and experience they bring,</w:t>
      </w:r>
      <w:r w:rsidR="00DC5DE7">
        <w:rPr>
          <w:rFonts w:cstheme="minorHAnsi"/>
          <w:sz w:val="22"/>
          <w:szCs w:val="22"/>
        </w:rPr>
        <w:t xml:space="preserve"> </w:t>
      </w:r>
      <w:r w:rsidR="009B6722">
        <w:rPr>
          <w:rFonts w:cstheme="minorHAnsi"/>
          <w:sz w:val="22"/>
          <w:szCs w:val="22"/>
        </w:rPr>
        <w:t xml:space="preserve">were </w:t>
      </w:r>
      <w:r w:rsidR="00DC5DE7">
        <w:rPr>
          <w:rFonts w:cstheme="minorHAnsi"/>
          <w:sz w:val="22"/>
          <w:szCs w:val="22"/>
        </w:rPr>
        <w:t>explicitly and deliberately</w:t>
      </w:r>
      <w:r w:rsidR="00DC5DE7" w:rsidRPr="00492A72">
        <w:rPr>
          <w:rFonts w:cstheme="minorHAnsi"/>
          <w:sz w:val="22"/>
          <w:szCs w:val="22"/>
        </w:rPr>
        <w:t xml:space="preserve"> tied </w:t>
      </w:r>
      <w:r w:rsidR="00DC5DE7">
        <w:rPr>
          <w:rFonts w:cstheme="minorHAnsi"/>
          <w:sz w:val="22"/>
          <w:szCs w:val="22"/>
        </w:rPr>
        <w:t xml:space="preserve">directly to </w:t>
      </w:r>
      <w:r w:rsidR="00902F72">
        <w:rPr>
          <w:rFonts w:cstheme="minorHAnsi"/>
          <w:sz w:val="22"/>
          <w:szCs w:val="22"/>
        </w:rPr>
        <w:t>the Court’s</w:t>
      </w:r>
      <w:r w:rsidR="007051FD">
        <w:rPr>
          <w:rFonts w:cstheme="minorHAnsi"/>
          <w:sz w:val="22"/>
          <w:szCs w:val="22"/>
        </w:rPr>
        <w:t xml:space="preserve"> </w:t>
      </w:r>
      <w:r w:rsidR="00DC5DE7">
        <w:rPr>
          <w:rFonts w:cstheme="minorHAnsi"/>
          <w:sz w:val="22"/>
          <w:szCs w:val="22"/>
        </w:rPr>
        <w:t xml:space="preserve">ability and success – </w:t>
      </w:r>
      <w:r w:rsidR="007051FD">
        <w:rPr>
          <w:rFonts w:cstheme="minorHAnsi"/>
          <w:sz w:val="22"/>
          <w:szCs w:val="22"/>
        </w:rPr>
        <w:t>to its</w:t>
      </w:r>
      <w:r w:rsidR="00DC5DE7">
        <w:rPr>
          <w:rFonts w:cstheme="minorHAnsi"/>
          <w:sz w:val="22"/>
          <w:szCs w:val="22"/>
        </w:rPr>
        <w:t xml:space="preserve"> quality or merit, </w:t>
      </w:r>
      <w:r w:rsidR="009B6722">
        <w:rPr>
          <w:rFonts w:cstheme="minorHAnsi"/>
          <w:sz w:val="22"/>
          <w:szCs w:val="22"/>
        </w:rPr>
        <w:t>i</w:t>
      </w:r>
      <w:r w:rsidR="00DC5DE7">
        <w:rPr>
          <w:rFonts w:cstheme="minorHAnsi"/>
          <w:sz w:val="22"/>
          <w:szCs w:val="22"/>
        </w:rPr>
        <w:t xml:space="preserve">f you like. </w:t>
      </w:r>
      <w:r w:rsidR="007051FD">
        <w:rPr>
          <w:rFonts w:cstheme="minorHAnsi"/>
          <w:sz w:val="22"/>
          <w:szCs w:val="22"/>
        </w:rPr>
        <w:t>We</w:t>
      </w:r>
      <w:r w:rsidR="00DC5DE7">
        <w:rPr>
          <w:rFonts w:cstheme="minorHAnsi"/>
          <w:sz w:val="22"/>
          <w:szCs w:val="22"/>
        </w:rPr>
        <w:t xml:space="preserve"> know that q</w:t>
      </w:r>
      <w:r>
        <w:rPr>
          <w:rFonts w:cstheme="minorHAnsi"/>
          <w:sz w:val="22"/>
          <w:szCs w:val="22"/>
        </w:rPr>
        <w:t>uality mattered</w:t>
      </w:r>
      <w:r w:rsidR="00DC5DE7">
        <w:rPr>
          <w:rFonts w:cstheme="minorHAnsi"/>
          <w:sz w:val="22"/>
          <w:szCs w:val="22"/>
        </w:rPr>
        <w:t xml:space="preserve">. It mattered to </w:t>
      </w:r>
      <w:r>
        <w:rPr>
          <w:rFonts w:cstheme="minorHAnsi"/>
          <w:sz w:val="22"/>
          <w:szCs w:val="22"/>
        </w:rPr>
        <w:t>Shaw</w:t>
      </w:r>
      <w:r w:rsidR="00DC5DE7">
        <w:rPr>
          <w:rFonts w:cstheme="minorHAnsi"/>
          <w:sz w:val="22"/>
          <w:szCs w:val="22"/>
        </w:rPr>
        <w:t xml:space="preserve"> </w:t>
      </w:r>
      <w:r>
        <w:rPr>
          <w:rFonts w:cstheme="minorHAnsi"/>
          <w:sz w:val="22"/>
          <w:szCs w:val="22"/>
        </w:rPr>
        <w:t>and other</w:t>
      </w:r>
      <w:r w:rsidR="005A4EF0">
        <w:rPr>
          <w:rFonts w:cstheme="minorHAnsi"/>
          <w:sz w:val="22"/>
          <w:szCs w:val="22"/>
        </w:rPr>
        <w:t>s</w:t>
      </w:r>
      <w:r>
        <w:rPr>
          <w:rFonts w:cstheme="minorHAnsi"/>
          <w:sz w:val="22"/>
          <w:szCs w:val="22"/>
        </w:rPr>
        <w:t xml:space="preserve"> who spoke</w:t>
      </w:r>
      <w:r w:rsidR="00DC5DE7">
        <w:rPr>
          <w:rFonts w:cstheme="minorHAnsi"/>
          <w:sz w:val="22"/>
          <w:szCs w:val="22"/>
        </w:rPr>
        <w:t>,</w:t>
      </w:r>
      <w:r w:rsidR="005A4EF0">
        <w:rPr>
          <w:rFonts w:cstheme="minorHAnsi"/>
          <w:sz w:val="22"/>
          <w:szCs w:val="22"/>
        </w:rPr>
        <w:t xml:space="preserve"> and to those</w:t>
      </w:r>
      <w:r w:rsidR="00DC5DE7">
        <w:rPr>
          <w:rFonts w:cstheme="minorHAnsi"/>
          <w:sz w:val="22"/>
          <w:szCs w:val="22"/>
        </w:rPr>
        <w:t xml:space="preserve"> ultimately responsible for the formation of the Court.</w:t>
      </w:r>
      <w:r w:rsidR="007051FD">
        <w:rPr>
          <w:rFonts w:cstheme="minorHAnsi"/>
          <w:sz w:val="22"/>
          <w:szCs w:val="22"/>
        </w:rPr>
        <w:t xml:space="preserve"> </w:t>
      </w:r>
      <w:r w:rsidR="001B6B22">
        <w:rPr>
          <w:rFonts w:cstheme="minorHAnsi"/>
          <w:sz w:val="22"/>
          <w:szCs w:val="22"/>
        </w:rPr>
        <w:t>And, moreover, w</w:t>
      </w:r>
      <w:r w:rsidR="00902F72">
        <w:rPr>
          <w:rFonts w:cstheme="minorHAnsi"/>
          <w:sz w:val="22"/>
          <w:szCs w:val="22"/>
        </w:rPr>
        <w:t>e know</w:t>
      </w:r>
      <w:r w:rsidR="007051FD">
        <w:rPr>
          <w:rFonts w:cstheme="minorHAnsi"/>
          <w:sz w:val="22"/>
          <w:szCs w:val="22"/>
        </w:rPr>
        <w:t xml:space="preserve"> that the quality argument worked: that t</w:t>
      </w:r>
      <w:r>
        <w:rPr>
          <w:rFonts w:cstheme="minorHAnsi"/>
          <w:sz w:val="22"/>
          <w:szCs w:val="22"/>
        </w:rPr>
        <w:t xml:space="preserve">he recognition of the value of diverse experience and expertise within the collective body provided a reason for women’s inclusion as equal members. </w:t>
      </w:r>
    </w:p>
    <w:p w14:paraId="73F8291D" w14:textId="77777777" w:rsidR="00140CDD" w:rsidRDefault="00140CDD" w:rsidP="002609A3">
      <w:pPr>
        <w:spacing w:line="360" w:lineRule="auto"/>
        <w:rPr>
          <w:rFonts w:cstheme="minorHAnsi"/>
          <w:sz w:val="22"/>
          <w:szCs w:val="22"/>
        </w:rPr>
      </w:pPr>
    </w:p>
    <w:p w14:paraId="6C7B44AA" w14:textId="6D21D051" w:rsidR="002609A3" w:rsidRDefault="001B6B22" w:rsidP="002609A3">
      <w:pPr>
        <w:spacing w:line="360" w:lineRule="auto"/>
        <w:rPr>
          <w:rFonts w:cstheme="minorHAnsi"/>
          <w:sz w:val="22"/>
          <w:szCs w:val="22"/>
        </w:rPr>
      </w:pPr>
      <w:r>
        <w:rPr>
          <w:rFonts w:cstheme="minorHAnsi"/>
          <w:sz w:val="22"/>
          <w:szCs w:val="22"/>
        </w:rPr>
        <w:t>W</w:t>
      </w:r>
      <w:r w:rsidR="002609A3">
        <w:rPr>
          <w:rFonts w:cstheme="minorHAnsi"/>
          <w:sz w:val="22"/>
          <w:szCs w:val="22"/>
        </w:rPr>
        <w:t xml:space="preserve">e </w:t>
      </w:r>
      <w:r w:rsidR="00487E5B">
        <w:rPr>
          <w:rFonts w:cstheme="minorHAnsi"/>
          <w:sz w:val="22"/>
          <w:szCs w:val="22"/>
        </w:rPr>
        <w:t xml:space="preserve">also </w:t>
      </w:r>
      <w:r w:rsidR="002609A3">
        <w:rPr>
          <w:rFonts w:cstheme="minorHAnsi"/>
          <w:sz w:val="22"/>
          <w:szCs w:val="22"/>
        </w:rPr>
        <w:t>know</w:t>
      </w:r>
      <w:r w:rsidR="00DC5DE7">
        <w:rPr>
          <w:rFonts w:cstheme="minorHAnsi"/>
          <w:sz w:val="22"/>
          <w:szCs w:val="22"/>
        </w:rPr>
        <w:t xml:space="preserve"> that, as a result,</w:t>
      </w:r>
      <w:r w:rsidR="002609A3">
        <w:rPr>
          <w:rFonts w:cstheme="minorHAnsi"/>
          <w:sz w:val="22"/>
          <w:szCs w:val="22"/>
        </w:rPr>
        <w:t xml:space="preserve"> at</w:t>
      </w:r>
      <w:r w:rsidR="002609A3" w:rsidRPr="00EB4C2E">
        <w:rPr>
          <w:rFonts w:cstheme="minorHAnsi"/>
          <w:sz w:val="22"/>
          <w:szCs w:val="22"/>
        </w:rPr>
        <w:t xml:space="preserve"> a time when women were unable to formally practise law</w:t>
      </w:r>
      <w:r w:rsidR="00DC5DE7">
        <w:rPr>
          <w:rFonts w:cstheme="minorHAnsi"/>
          <w:sz w:val="22"/>
          <w:szCs w:val="22"/>
        </w:rPr>
        <w:t xml:space="preserve">, </w:t>
      </w:r>
      <w:r w:rsidR="002609A3">
        <w:rPr>
          <w:rFonts w:cstheme="minorHAnsi"/>
          <w:sz w:val="22"/>
          <w:szCs w:val="22"/>
        </w:rPr>
        <w:t>when</w:t>
      </w:r>
      <w:r w:rsidR="002609A3" w:rsidRPr="00EB4C2E">
        <w:rPr>
          <w:rFonts w:cstheme="minorHAnsi"/>
          <w:sz w:val="22"/>
          <w:szCs w:val="22"/>
        </w:rPr>
        <w:t xml:space="preserve"> prominent figures and institutions </w:t>
      </w:r>
      <w:r w:rsidR="002609A3">
        <w:rPr>
          <w:rFonts w:cstheme="minorHAnsi"/>
          <w:sz w:val="22"/>
          <w:szCs w:val="22"/>
        </w:rPr>
        <w:t>were</w:t>
      </w:r>
      <w:r w:rsidR="007051FD">
        <w:rPr>
          <w:rFonts w:cstheme="minorHAnsi"/>
          <w:sz w:val="22"/>
          <w:szCs w:val="22"/>
        </w:rPr>
        <w:t xml:space="preserve"> still</w:t>
      </w:r>
      <w:r w:rsidR="002609A3">
        <w:rPr>
          <w:rFonts w:cstheme="minorHAnsi"/>
          <w:sz w:val="22"/>
          <w:szCs w:val="22"/>
        </w:rPr>
        <w:t xml:space="preserve"> </w:t>
      </w:r>
      <w:r w:rsidR="002609A3" w:rsidRPr="00EB4C2E">
        <w:rPr>
          <w:rFonts w:cstheme="minorHAnsi"/>
          <w:sz w:val="22"/>
          <w:szCs w:val="22"/>
        </w:rPr>
        <w:t>argu</w:t>
      </w:r>
      <w:r w:rsidR="002609A3">
        <w:rPr>
          <w:rFonts w:cstheme="minorHAnsi"/>
          <w:sz w:val="22"/>
          <w:szCs w:val="22"/>
        </w:rPr>
        <w:t>ing</w:t>
      </w:r>
      <w:r w:rsidR="002609A3" w:rsidRPr="00EB4C2E">
        <w:rPr>
          <w:rFonts w:cstheme="minorHAnsi"/>
          <w:sz w:val="22"/>
          <w:szCs w:val="22"/>
        </w:rPr>
        <w:t xml:space="preserve"> </w:t>
      </w:r>
      <w:r w:rsidR="002609A3" w:rsidRPr="006B2959">
        <w:rPr>
          <w:rFonts w:cstheme="minorHAnsi"/>
          <w:i/>
          <w:iCs/>
          <w:sz w:val="22"/>
          <w:szCs w:val="22"/>
        </w:rPr>
        <w:t>against</w:t>
      </w:r>
      <w:r w:rsidR="002609A3" w:rsidRPr="00EB4C2E">
        <w:rPr>
          <w:rFonts w:cstheme="minorHAnsi"/>
          <w:sz w:val="22"/>
          <w:szCs w:val="22"/>
        </w:rPr>
        <w:t xml:space="preserve"> women’s inclusion in the legal profession and ability as lawyers, </w:t>
      </w:r>
      <w:r w:rsidR="00DC5DE7">
        <w:rPr>
          <w:rFonts w:cstheme="minorHAnsi"/>
          <w:sz w:val="22"/>
          <w:szCs w:val="22"/>
        </w:rPr>
        <w:t>when</w:t>
      </w:r>
      <w:r w:rsidR="0030300E">
        <w:rPr>
          <w:rFonts w:cstheme="minorHAnsi"/>
          <w:sz w:val="22"/>
          <w:szCs w:val="22"/>
        </w:rPr>
        <w:t>,</w:t>
      </w:r>
      <w:r w:rsidR="00DC5DE7">
        <w:rPr>
          <w:rFonts w:cstheme="minorHAnsi"/>
          <w:sz w:val="22"/>
          <w:szCs w:val="22"/>
        </w:rPr>
        <w:t xml:space="preserve"> at best</w:t>
      </w:r>
      <w:r w:rsidR="0030300E">
        <w:rPr>
          <w:rFonts w:cstheme="minorHAnsi"/>
          <w:sz w:val="22"/>
          <w:szCs w:val="22"/>
        </w:rPr>
        <w:t>,</w:t>
      </w:r>
      <w:r w:rsidR="002609A3">
        <w:rPr>
          <w:rFonts w:cstheme="minorHAnsi"/>
          <w:sz w:val="22"/>
          <w:szCs w:val="22"/>
        </w:rPr>
        <w:t xml:space="preserve"> the </w:t>
      </w:r>
      <w:r w:rsidR="002609A3" w:rsidRPr="0048257F">
        <w:rPr>
          <w:rFonts w:cstheme="minorHAnsi"/>
          <w:sz w:val="22"/>
          <w:szCs w:val="22"/>
        </w:rPr>
        <w:t xml:space="preserve">Sex </w:t>
      </w:r>
      <w:r w:rsidR="00D60129">
        <w:rPr>
          <w:rFonts w:cstheme="minorHAnsi"/>
          <w:sz w:val="22"/>
          <w:szCs w:val="22"/>
        </w:rPr>
        <w:t>Disqualification</w:t>
      </w:r>
      <w:r w:rsidR="002609A3" w:rsidRPr="0048257F">
        <w:rPr>
          <w:rFonts w:cstheme="minorHAnsi"/>
          <w:sz w:val="22"/>
          <w:szCs w:val="22"/>
        </w:rPr>
        <w:t xml:space="preserve"> (Removal) Act</w:t>
      </w:r>
      <w:r w:rsidR="002609A3">
        <w:rPr>
          <w:rFonts w:cstheme="minorHAnsi"/>
          <w:sz w:val="22"/>
          <w:szCs w:val="22"/>
        </w:rPr>
        <w:t xml:space="preserve"> 1919 </w:t>
      </w:r>
      <w:r w:rsidR="00DC5DE7">
        <w:rPr>
          <w:rFonts w:cstheme="minorHAnsi"/>
          <w:sz w:val="22"/>
          <w:szCs w:val="22"/>
        </w:rPr>
        <w:t xml:space="preserve">would simply </w:t>
      </w:r>
      <w:r w:rsidR="002609A3">
        <w:rPr>
          <w:rFonts w:cstheme="minorHAnsi"/>
          <w:i/>
          <w:iCs/>
          <w:sz w:val="22"/>
          <w:szCs w:val="22"/>
        </w:rPr>
        <w:t xml:space="preserve">enable </w:t>
      </w:r>
      <w:r w:rsidR="002609A3">
        <w:rPr>
          <w:rFonts w:cstheme="minorHAnsi"/>
          <w:sz w:val="22"/>
          <w:szCs w:val="22"/>
        </w:rPr>
        <w:t>women to join the professions</w:t>
      </w:r>
      <w:r w:rsidR="00DC5DE7">
        <w:rPr>
          <w:rFonts w:cstheme="minorHAnsi"/>
          <w:sz w:val="22"/>
          <w:szCs w:val="22"/>
        </w:rPr>
        <w:t xml:space="preserve">, </w:t>
      </w:r>
      <w:r w:rsidR="002609A3">
        <w:rPr>
          <w:rFonts w:cstheme="minorHAnsi"/>
          <w:sz w:val="22"/>
          <w:szCs w:val="22"/>
        </w:rPr>
        <w:t xml:space="preserve">the Industrial Courts Act </w:t>
      </w:r>
      <w:r w:rsidR="002609A3" w:rsidRPr="00906707">
        <w:rPr>
          <w:rFonts w:cstheme="minorHAnsi"/>
          <w:i/>
          <w:iCs/>
          <w:sz w:val="22"/>
          <w:szCs w:val="22"/>
        </w:rPr>
        <w:t>positively</w:t>
      </w:r>
      <w:r w:rsidR="002609A3" w:rsidRPr="00EB4C2E">
        <w:rPr>
          <w:rFonts w:cstheme="minorHAnsi"/>
          <w:sz w:val="22"/>
          <w:szCs w:val="22"/>
        </w:rPr>
        <w:t xml:space="preserve"> </w:t>
      </w:r>
      <w:r w:rsidR="002609A3" w:rsidRPr="00906707">
        <w:rPr>
          <w:rFonts w:cstheme="minorHAnsi"/>
          <w:i/>
          <w:iCs/>
          <w:sz w:val="22"/>
          <w:szCs w:val="22"/>
        </w:rPr>
        <w:t>required</w:t>
      </w:r>
      <w:r w:rsidR="002609A3" w:rsidRPr="00EB4C2E">
        <w:rPr>
          <w:rFonts w:cstheme="minorHAnsi"/>
          <w:sz w:val="22"/>
          <w:szCs w:val="22"/>
        </w:rPr>
        <w:t xml:space="preserve"> </w:t>
      </w:r>
      <w:r w:rsidR="002609A3">
        <w:rPr>
          <w:rFonts w:cstheme="minorHAnsi"/>
          <w:sz w:val="22"/>
          <w:szCs w:val="22"/>
        </w:rPr>
        <w:t xml:space="preserve">women’s presence. </w:t>
      </w:r>
      <w:r w:rsidR="00DC5DE7">
        <w:rPr>
          <w:rFonts w:cstheme="minorHAnsi"/>
          <w:sz w:val="22"/>
          <w:szCs w:val="22"/>
        </w:rPr>
        <w:t>At a time before women could be</w:t>
      </w:r>
      <w:r w:rsidR="00214507">
        <w:rPr>
          <w:rFonts w:cstheme="minorHAnsi"/>
          <w:sz w:val="22"/>
          <w:szCs w:val="22"/>
        </w:rPr>
        <w:t>come</w:t>
      </w:r>
      <w:r w:rsidR="00DC5DE7">
        <w:rPr>
          <w:rFonts w:cstheme="minorHAnsi"/>
          <w:sz w:val="22"/>
          <w:szCs w:val="22"/>
        </w:rPr>
        <w:t xml:space="preserve"> judges or magistrates,</w:t>
      </w:r>
      <w:r w:rsidR="00061D17">
        <w:rPr>
          <w:rFonts w:cstheme="minorHAnsi"/>
          <w:sz w:val="22"/>
          <w:szCs w:val="22"/>
        </w:rPr>
        <w:t xml:space="preserve"> </w:t>
      </w:r>
      <w:r w:rsidR="0030300E">
        <w:rPr>
          <w:rFonts w:cstheme="minorHAnsi"/>
          <w:sz w:val="22"/>
          <w:szCs w:val="22"/>
        </w:rPr>
        <w:t>the Industrial Court</w:t>
      </w:r>
      <w:r w:rsidR="009D4322">
        <w:rPr>
          <w:rFonts w:cstheme="minorHAnsi"/>
          <w:sz w:val="22"/>
          <w:szCs w:val="22"/>
        </w:rPr>
        <w:t>s</w:t>
      </w:r>
      <w:r w:rsidR="0030300E">
        <w:rPr>
          <w:rFonts w:cstheme="minorHAnsi"/>
          <w:sz w:val="22"/>
          <w:szCs w:val="22"/>
        </w:rPr>
        <w:t xml:space="preserve"> Act</w:t>
      </w:r>
      <w:r w:rsidR="002609A3">
        <w:rPr>
          <w:rFonts w:cstheme="minorHAnsi"/>
          <w:sz w:val="22"/>
          <w:szCs w:val="22"/>
        </w:rPr>
        <w:t xml:space="preserve"> </w:t>
      </w:r>
      <w:r w:rsidR="00AD3749">
        <w:rPr>
          <w:rFonts w:cstheme="minorHAnsi"/>
          <w:sz w:val="22"/>
          <w:szCs w:val="22"/>
        </w:rPr>
        <w:t xml:space="preserve">1919 </w:t>
      </w:r>
      <w:r w:rsidR="002609A3">
        <w:rPr>
          <w:rFonts w:cstheme="minorHAnsi"/>
          <w:sz w:val="22"/>
          <w:szCs w:val="22"/>
        </w:rPr>
        <w:t>provided statutory recognition and protection, in the form of a quota, of women</w:t>
      </w:r>
      <w:r w:rsidR="00DC5DE7">
        <w:rPr>
          <w:rFonts w:cstheme="minorHAnsi"/>
          <w:sz w:val="22"/>
          <w:szCs w:val="22"/>
        </w:rPr>
        <w:t xml:space="preserve">’s ability as judges </w:t>
      </w:r>
      <w:r w:rsidR="002609A3">
        <w:rPr>
          <w:rFonts w:cstheme="minorHAnsi"/>
          <w:sz w:val="22"/>
          <w:szCs w:val="22"/>
        </w:rPr>
        <w:t>–</w:t>
      </w:r>
      <w:r w:rsidR="00061D17">
        <w:rPr>
          <w:rFonts w:cstheme="minorHAnsi"/>
          <w:sz w:val="22"/>
          <w:szCs w:val="22"/>
        </w:rPr>
        <w:t xml:space="preserve"> of their ability,</w:t>
      </w:r>
      <w:r w:rsidR="002609A3">
        <w:rPr>
          <w:rFonts w:cstheme="minorHAnsi"/>
          <w:sz w:val="22"/>
          <w:szCs w:val="22"/>
        </w:rPr>
        <w:t xml:space="preserve"> in the words of Labour MP</w:t>
      </w:r>
      <w:r w:rsidR="00902F72">
        <w:rPr>
          <w:rFonts w:cstheme="minorHAnsi"/>
          <w:sz w:val="22"/>
          <w:szCs w:val="22"/>
        </w:rPr>
        <w:t>,</w:t>
      </w:r>
      <w:r w:rsidR="00214507">
        <w:rPr>
          <w:rFonts w:cstheme="minorHAnsi"/>
          <w:sz w:val="22"/>
          <w:szCs w:val="22"/>
        </w:rPr>
        <w:t xml:space="preserve"> </w:t>
      </w:r>
      <w:r w:rsidR="002609A3">
        <w:rPr>
          <w:rFonts w:cstheme="minorHAnsi"/>
          <w:sz w:val="22"/>
          <w:szCs w:val="22"/>
        </w:rPr>
        <w:t>J</w:t>
      </w:r>
      <w:r w:rsidR="00A23299">
        <w:rPr>
          <w:rFonts w:cstheme="minorHAnsi"/>
          <w:sz w:val="22"/>
          <w:szCs w:val="22"/>
        </w:rPr>
        <w:t xml:space="preserve"> </w:t>
      </w:r>
      <w:r w:rsidR="002609A3">
        <w:rPr>
          <w:rFonts w:cstheme="minorHAnsi"/>
          <w:sz w:val="22"/>
          <w:szCs w:val="22"/>
        </w:rPr>
        <w:t xml:space="preserve">R </w:t>
      </w:r>
      <w:proofErr w:type="spellStart"/>
      <w:r w:rsidR="002609A3">
        <w:rPr>
          <w:rFonts w:cstheme="minorHAnsi"/>
          <w:sz w:val="22"/>
          <w:szCs w:val="22"/>
        </w:rPr>
        <w:t>Clynes</w:t>
      </w:r>
      <w:proofErr w:type="spellEnd"/>
      <w:r w:rsidR="002609A3">
        <w:rPr>
          <w:rFonts w:cstheme="minorHAnsi"/>
          <w:sz w:val="22"/>
          <w:szCs w:val="22"/>
        </w:rPr>
        <w:t xml:space="preserve"> </w:t>
      </w:r>
      <w:r w:rsidR="002609A3" w:rsidRPr="000A42BF">
        <w:rPr>
          <w:rFonts w:cstheme="minorHAnsi"/>
          <w:sz w:val="22"/>
          <w:szCs w:val="22"/>
        </w:rPr>
        <w:t>as ‘persons of experience, of known impartiality; judicially-minded and capable of estimating evidence and reaching a reasonable decision according to the revealed facts of the case’.</w:t>
      </w:r>
      <w:r w:rsidR="007051FD">
        <w:rPr>
          <w:rStyle w:val="FootnoteReference"/>
          <w:rFonts w:cstheme="minorHAnsi"/>
          <w:sz w:val="22"/>
          <w:szCs w:val="22"/>
        </w:rPr>
        <w:footnoteReference w:id="140"/>
      </w:r>
      <w:r w:rsidR="007051FD">
        <w:rPr>
          <w:rFonts w:cstheme="minorHAnsi"/>
          <w:sz w:val="22"/>
          <w:szCs w:val="22"/>
        </w:rPr>
        <w:t xml:space="preserve">  </w:t>
      </w:r>
      <w:r w:rsidR="00904504">
        <w:rPr>
          <w:rFonts w:cstheme="minorHAnsi"/>
          <w:sz w:val="22"/>
          <w:szCs w:val="22"/>
        </w:rPr>
        <w:t>And that,</w:t>
      </w:r>
      <w:r w:rsidR="002609A3">
        <w:rPr>
          <w:rFonts w:cstheme="minorHAnsi"/>
          <w:sz w:val="22"/>
          <w:szCs w:val="22"/>
        </w:rPr>
        <w:t xml:space="preserve"> as a result, a </w:t>
      </w:r>
      <w:r w:rsidR="002609A3" w:rsidRPr="0013549F">
        <w:rPr>
          <w:rFonts w:cstheme="minorHAnsi"/>
          <w:sz w:val="22"/>
          <w:szCs w:val="22"/>
        </w:rPr>
        <w:t xml:space="preserve">quarter of a century before </w:t>
      </w:r>
      <w:r w:rsidR="002609A3" w:rsidRPr="000A42BF">
        <w:rPr>
          <w:rFonts w:cstheme="minorHAnsi"/>
          <w:sz w:val="22"/>
          <w:szCs w:val="22"/>
        </w:rPr>
        <w:t xml:space="preserve">Sybil </w:t>
      </w:r>
      <w:r w:rsidR="002609A3">
        <w:rPr>
          <w:rFonts w:cstheme="minorHAnsi"/>
          <w:sz w:val="22"/>
          <w:szCs w:val="22"/>
        </w:rPr>
        <w:t>Campbell</w:t>
      </w:r>
      <w:r w:rsidR="00DC5DE7">
        <w:rPr>
          <w:rFonts w:cstheme="minorHAnsi"/>
          <w:sz w:val="22"/>
          <w:szCs w:val="22"/>
        </w:rPr>
        <w:t xml:space="preserve">’s appointment as </w:t>
      </w:r>
      <w:r w:rsidR="002609A3">
        <w:rPr>
          <w:rFonts w:cstheme="minorHAnsi"/>
          <w:sz w:val="22"/>
          <w:szCs w:val="22"/>
        </w:rPr>
        <w:t>the first</w:t>
      </w:r>
      <w:r w:rsidR="00DC5DE7">
        <w:rPr>
          <w:rFonts w:cstheme="minorHAnsi"/>
          <w:sz w:val="22"/>
          <w:szCs w:val="22"/>
        </w:rPr>
        <w:t xml:space="preserve"> female</w:t>
      </w:r>
      <w:r w:rsidR="002609A3">
        <w:rPr>
          <w:rFonts w:cstheme="minorHAnsi"/>
          <w:sz w:val="22"/>
          <w:szCs w:val="22"/>
        </w:rPr>
        <w:t xml:space="preserve"> </w:t>
      </w:r>
      <w:r w:rsidR="002609A3" w:rsidRPr="0013549F">
        <w:rPr>
          <w:rFonts w:cstheme="minorHAnsi"/>
          <w:sz w:val="22"/>
          <w:szCs w:val="22"/>
        </w:rPr>
        <w:t xml:space="preserve">full-time </w:t>
      </w:r>
      <w:r w:rsidR="002609A3">
        <w:rPr>
          <w:rFonts w:cstheme="minorHAnsi"/>
          <w:sz w:val="22"/>
          <w:szCs w:val="22"/>
        </w:rPr>
        <w:t>judge</w:t>
      </w:r>
      <w:r w:rsidR="002609A3" w:rsidRPr="0013549F">
        <w:rPr>
          <w:rFonts w:cstheme="minorHAnsi"/>
          <w:sz w:val="22"/>
          <w:szCs w:val="22"/>
        </w:rPr>
        <w:t>,</w:t>
      </w:r>
      <w:r w:rsidR="002609A3">
        <w:rPr>
          <w:rFonts w:cstheme="minorHAnsi"/>
          <w:sz w:val="22"/>
          <w:szCs w:val="22"/>
        </w:rPr>
        <w:t xml:space="preserve"> and almost half a century before Elizabeth Lane’s ground-breaking appointment to the High Court,</w:t>
      </w:r>
      <w:r w:rsidR="002609A3" w:rsidRPr="0013549F">
        <w:rPr>
          <w:rFonts w:cstheme="minorHAnsi"/>
          <w:sz w:val="22"/>
          <w:szCs w:val="22"/>
        </w:rPr>
        <w:t xml:space="preserve"> the Industrial Courts Act ensured the appointment of </w:t>
      </w:r>
      <w:r w:rsidR="002609A3">
        <w:rPr>
          <w:rFonts w:cstheme="minorHAnsi"/>
          <w:sz w:val="22"/>
          <w:szCs w:val="22"/>
        </w:rPr>
        <w:t>not just one but two</w:t>
      </w:r>
      <w:r w:rsidR="002609A3" w:rsidRPr="0013549F">
        <w:rPr>
          <w:rFonts w:cstheme="minorHAnsi"/>
          <w:sz w:val="22"/>
          <w:szCs w:val="22"/>
        </w:rPr>
        <w:t xml:space="preserve"> women to sit ‘in the capacity of judges’ on the </w:t>
      </w:r>
      <w:r w:rsidR="002609A3" w:rsidRPr="0013549F">
        <w:rPr>
          <w:rFonts w:cstheme="minorHAnsi"/>
          <w:sz w:val="22"/>
          <w:szCs w:val="22"/>
        </w:rPr>
        <w:lastRenderedPageBreak/>
        <w:t>most senior industrial tribunal in the land.</w:t>
      </w:r>
      <w:r w:rsidR="007051FD">
        <w:rPr>
          <w:rStyle w:val="FootnoteReference"/>
          <w:rFonts w:cstheme="minorHAnsi"/>
          <w:sz w:val="22"/>
          <w:szCs w:val="22"/>
        </w:rPr>
        <w:footnoteReference w:id="141"/>
      </w:r>
      <w:r w:rsidR="00A23299">
        <w:rPr>
          <w:rFonts w:cstheme="minorHAnsi"/>
          <w:sz w:val="22"/>
          <w:szCs w:val="22"/>
        </w:rPr>
        <w:t xml:space="preserve"> </w:t>
      </w:r>
      <w:r w:rsidR="002609A3" w:rsidRPr="0013549F">
        <w:rPr>
          <w:rFonts w:cstheme="minorHAnsi"/>
          <w:sz w:val="22"/>
          <w:szCs w:val="22"/>
        </w:rPr>
        <w:t>It would take just shy of a hundred years for the UK Supreme Court to do the same</w:t>
      </w:r>
      <w:r w:rsidR="002609A3">
        <w:rPr>
          <w:rFonts w:cstheme="minorHAnsi"/>
          <w:sz w:val="22"/>
          <w:szCs w:val="22"/>
        </w:rPr>
        <w:t>.</w:t>
      </w:r>
      <w:r w:rsidR="00E73211">
        <w:rPr>
          <w:rFonts w:cstheme="minorHAnsi"/>
          <w:sz w:val="22"/>
          <w:szCs w:val="22"/>
        </w:rPr>
        <w:t xml:space="preserve"> And just </w:t>
      </w:r>
      <w:r w:rsidR="00C57D8B">
        <w:rPr>
          <w:rFonts w:cstheme="minorHAnsi"/>
          <w:sz w:val="22"/>
          <w:szCs w:val="22"/>
        </w:rPr>
        <w:t>over four</w:t>
      </w:r>
      <w:r w:rsidR="00E73211">
        <w:rPr>
          <w:rFonts w:cstheme="minorHAnsi"/>
          <w:sz w:val="22"/>
          <w:szCs w:val="22"/>
        </w:rPr>
        <w:t xml:space="preserve"> years after that for it to slip away.</w:t>
      </w:r>
      <w:r w:rsidR="007051FD">
        <w:rPr>
          <w:rStyle w:val="FootnoteReference"/>
          <w:rFonts w:cstheme="minorHAnsi"/>
          <w:sz w:val="22"/>
          <w:szCs w:val="22"/>
        </w:rPr>
        <w:footnoteReference w:id="142"/>
      </w:r>
      <w:r w:rsidR="00E73211">
        <w:rPr>
          <w:rFonts w:cstheme="minorHAnsi"/>
          <w:sz w:val="22"/>
          <w:szCs w:val="22"/>
        </w:rPr>
        <w:t xml:space="preserve"> </w:t>
      </w:r>
    </w:p>
    <w:p w14:paraId="272208EB" w14:textId="77777777" w:rsidR="007051FD" w:rsidRDefault="007051FD" w:rsidP="003D4158">
      <w:pPr>
        <w:spacing w:line="360" w:lineRule="auto"/>
        <w:rPr>
          <w:rFonts w:cstheme="minorHAnsi"/>
          <w:sz w:val="22"/>
          <w:szCs w:val="22"/>
        </w:rPr>
      </w:pPr>
    </w:p>
    <w:p w14:paraId="3475551A" w14:textId="290F33E9" w:rsidR="0030300E" w:rsidRDefault="0030300E" w:rsidP="001E2538">
      <w:pPr>
        <w:spacing w:line="360" w:lineRule="auto"/>
        <w:rPr>
          <w:rFonts w:cstheme="minorHAnsi"/>
          <w:sz w:val="22"/>
          <w:szCs w:val="22"/>
        </w:rPr>
      </w:pPr>
      <w:r>
        <w:rPr>
          <w:rFonts w:cstheme="minorHAnsi"/>
          <w:sz w:val="22"/>
          <w:szCs w:val="22"/>
        </w:rPr>
        <w:t>For feminist legal h</w:t>
      </w:r>
      <w:r w:rsidR="006760C8">
        <w:rPr>
          <w:rFonts w:cstheme="minorHAnsi"/>
          <w:sz w:val="22"/>
          <w:szCs w:val="22"/>
        </w:rPr>
        <w:t xml:space="preserve">istory </w:t>
      </w:r>
      <w:r w:rsidR="00B732B2">
        <w:rPr>
          <w:rFonts w:cstheme="minorHAnsi"/>
          <w:sz w:val="22"/>
          <w:szCs w:val="22"/>
        </w:rPr>
        <w:t xml:space="preserve">also </w:t>
      </w:r>
      <w:r w:rsidR="009F7D89" w:rsidRPr="004E6054">
        <w:rPr>
          <w:rFonts w:cstheme="minorHAnsi"/>
          <w:sz w:val="22"/>
          <w:szCs w:val="22"/>
        </w:rPr>
        <w:t xml:space="preserve">teaches us that </w:t>
      </w:r>
      <w:r w:rsidR="00995B2C">
        <w:rPr>
          <w:rFonts w:cstheme="minorHAnsi"/>
          <w:sz w:val="22"/>
          <w:szCs w:val="22"/>
        </w:rPr>
        <w:t>one success is rarely the end of the story</w:t>
      </w:r>
      <w:r w:rsidR="009F7D89" w:rsidRPr="004E6054">
        <w:rPr>
          <w:rFonts w:cstheme="minorHAnsi"/>
          <w:sz w:val="22"/>
          <w:szCs w:val="22"/>
        </w:rPr>
        <w:t>.</w:t>
      </w:r>
      <w:r w:rsidR="009F7D89">
        <w:rPr>
          <w:rFonts w:cstheme="minorHAnsi"/>
          <w:sz w:val="22"/>
          <w:szCs w:val="22"/>
        </w:rPr>
        <w:t xml:space="preserve"> </w:t>
      </w:r>
      <w:r w:rsidR="0073774D">
        <w:rPr>
          <w:rFonts w:cstheme="minorHAnsi"/>
          <w:sz w:val="22"/>
          <w:szCs w:val="22"/>
        </w:rPr>
        <w:t>It shows t</w:t>
      </w:r>
      <w:r w:rsidR="007050BF">
        <w:rPr>
          <w:rFonts w:cstheme="minorHAnsi"/>
          <w:sz w:val="22"/>
          <w:szCs w:val="22"/>
        </w:rPr>
        <w:t>hat, as</w:t>
      </w:r>
      <w:r w:rsidR="003D4158">
        <w:rPr>
          <w:rFonts w:cstheme="minorHAnsi"/>
          <w:sz w:val="22"/>
          <w:szCs w:val="22"/>
        </w:rPr>
        <w:t xml:space="preserve"> we are seeing</w:t>
      </w:r>
      <w:r w:rsidR="007050BF">
        <w:rPr>
          <w:rFonts w:cstheme="minorHAnsi"/>
          <w:sz w:val="22"/>
          <w:szCs w:val="22"/>
        </w:rPr>
        <w:t>,</w:t>
      </w:r>
      <w:r w:rsidR="003D4158">
        <w:rPr>
          <w:rFonts w:cstheme="minorHAnsi"/>
          <w:sz w:val="22"/>
          <w:szCs w:val="22"/>
        </w:rPr>
        <w:t xml:space="preserve"> </w:t>
      </w:r>
      <w:r w:rsidR="0007767F">
        <w:rPr>
          <w:rFonts w:cstheme="minorHAnsi"/>
          <w:sz w:val="22"/>
          <w:szCs w:val="22"/>
        </w:rPr>
        <w:t xml:space="preserve">progress cannot be taken for granted and </w:t>
      </w:r>
      <w:r w:rsidR="003D4158">
        <w:rPr>
          <w:rFonts w:ascii="Calibri" w:hAnsi="Calibri"/>
          <w:sz w:val="22"/>
          <w:szCs w:val="22"/>
        </w:rPr>
        <w:t>h</w:t>
      </w:r>
      <w:r w:rsidR="009F7D89" w:rsidRPr="00A2475E">
        <w:rPr>
          <w:rFonts w:ascii="Calibri" w:hAnsi="Calibri"/>
          <w:sz w:val="22"/>
          <w:szCs w:val="22"/>
        </w:rPr>
        <w:t>ard</w:t>
      </w:r>
      <w:r w:rsidR="007050BF">
        <w:rPr>
          <w:rFonts w:ascii="Calibri" w:hAnsi="Calibri"/>
          <w:sz w:val="22"/>
          <w:szCs w:val="22"/>
        </w:rPr>
        <w:t>-</w:t>
      </w:r>
      <w:r w:rsidR="009F7D89" w:rsidRPr="00A2475E">
        <w:rPr>
          <w:rFonts w:ascii="Calibri" w:hAnsi="Calibri"/>
          <w:sz w:val="22"/>
          <w:szCs w:val="22"/>
        </w:rPr>
        <w:t xml:space="preserve">won gains are easily lost as momentum and focus </w:t>
      </w:r>
      <w:r w:rsidR="0007767F">
        <w:rPr>
          <w:rFonts w:ascii="Calibri" w:hAnsi="Calibri"/>
          <w:sz w:val="22"/>
          <w:szCs w:val="22"/>
        </w:rPr>
        <w:t>move</w:t>
      </w:r>
      <w:r w:rsidR="0007767F" w:rsidRPr="00A2475E">
        <w:rPr>
          <w:rFonts w:ascii="Calibri" w:hAnsi="Calibri"/>
          <w:sz w:val="22"/>
          <w:szCs w:val="22"/>
        </w:rPr>
        <w:t xml:space="preserve"> </w:t>
      </w:r>
      <w:r w:rsidR="009F7D89" w:rsidRPr="00A2475E">
        <w:rPr>
          <w:rFonts w:ascii="Calibri" w:hAnsi="Calibri"/>
          <w:sz w:val="22"/>
          <w:szCs w:val="22"/>
        </w:rPr>
        <w:t>elsewhere</w:t>
      </w:r>
      <w:r w:rsidR="009F7D89">
        <w:rPr>
          <w:rFonts w:ascii="Calibri" w:hAnsi="Calibri"/>
          <w:sz w:val="22"/>
          <w:szCs w:val="22"/>
        </w:rPr>
        <w:t>.</w:t>
      </w:r>
      <w:r w:rsidR="00E80E0E" w:rsidRPr="00E80E0E">
        <w:rPr>
          <w:rFonts w:cstheme="minorHAnsi"/>
          <w:sz w:val="22"/>
          <w:szCs w:val="22"/>
        </w:rPr>
        <w:t xml:space="preserve"> </w:t>
      </w:r>
      <w:r w:rsidR="007051FD">
        <w:rPr>
          <w:rFonts w:cstheme="minorHAnsi"/>
          <w:sz w:val="22"/>
          <w:szCs w:val="22"/>
        </w:rPr>
        <w:t xml:space="preserve"> </w:t>
      </w:r>
      <w:r w:rsidR="00A23299">
        <w:rPr>
          <w:rFonts w:cstheme="minorHAnsi"/>
          <w:sz w:val="22"/>
          <w:szCs w:val="22"/>
        </w:rPr>
        <w:t>The successes of feminist law reform are fragile</w:t>
      </w:r>
      <w:r w:rsidR="001E2538">
        <w:rPr>
          <w:rFonts w:cstheme="minorHAnsi"/>
          <w:sz w:val="22"/>
          <w:szCs w:val="22"/>
        </w:rPr>
        <w:t xml:space="preserve"> and transitory</w:t>
      </w:r>
      <w:r w:rsidR="00902F72">
        <w:rPr>
          <w:rFonts w:cstheme="minorHAnsi"/>
          <w:sz w:val="22"/>
          <w:szCs w:val="22"/>
        </w:rPr>
        <w:t xml:space="preserve"> and</w:t>
      </w:r>
      <w:r w:rsidR="0073774D">
        <w:rPr>
          <w:rFonts w:cstheme="minorHAnsi"/>
          <w:sz w:val="22"/>
          <w:szCs w:val="22"/>
        </w:rPr>
        <w:t>,</w:t>
      </w:r>
      <w:r w:rsidR="00A23299">
        <w:rPr>
          <w:rFonts w:cstheme="minorHAnsi"/>
          <w:sz w:val="22"/>
          <w:szCs w:val="22"/>
        </w:rPr>
        <w:t xml:space="preserve"> even when the requirement of representation is carved into the text of the law, this can be chipped away. </w:t>
      </w:r>
      <w:r w:rsidR="001E2538">
        <w:rPr>
          <w:rFonts w:cstheme="minorHAnsi"/>
          <w:sz w:val="22"/>
          <w:szCs w:val="22"/>
        </w:rPr>
        <w:t xml:space="preserve">It exposes efforts of men (and it </w:t>
      </w:r>
      <w:r w:rsidR="00774A79">
        <w:rPr>
          <w:rFonts w:cstheme="minorHAnsi"/>
          <w:sz w:val="22"/>
          <w:szCs w:val="22"/>
        </w:rPr>
        <w:t xml:space="preserve">is </w:t>
      </w:r>
      <w:r w:rsidR="001E2538">
        <w:rPr>
          <w:rFonts w:cstheme="minorHAnsi"/>
          <w:sz w:val="22"/>
          <w:szCs w:val="22"/>
        </w:rPr>
        <w:t>usually men</w:t>
      </w:r>
      <w:r w:rsidR="00774A79">
        <w:rPr>
          <w:rFonts w:cstheme="minorHAnsi"/>
          <w:sz w:val="22"/>
          <w:szCs w:val="22"/>
        </w:rPr>
        <w:t xml:space="preserve"> </w:t>
      </w:r>
      <w:r w:rsidR="001E2538">
        <w:rPr>
          <w:rFonts w:cstheme="minorHAnsi"/>
          <w:sz w:val="22"/>
          <w:szCs w:val="22"/>
        </w:rPr>
        <w:t>whose privileges being challenged</w:t>
      </w:r>
      <w:r w:rsidR="00774A79">
        <w:rPr>
          <w:rFonts w:cstheme="minorHAnsi"/>
          <w:sz w:val="22"/>
          <w:szCs w:val="22"/>
        </w:rPr>
        <w:t>)</w:t>
      </w:r>
      <w:r w:rsidR="001E2538">
        <w:rPr>
          <w:rFonts w:cstheme="minorHAnsi"/>
          <w:sz w:val="22"/>
          <w:szCs w:val="22"/>
        </w:rPr>
        <w:t xml:space="preserve"> to find any number of </w:t>
      </w:r>
      <w:r w:rsidR="001E2538" w:rsidRPr="001E2538">
        <w:rPr>
          <w:rFonts w:cstheme="minorHAnsi"/>
          <w:sz w:val="22"/>
          <w:szCs w:val="22"/>
        </w:rPr>
        <w:t>ways</w:t>
      </w:r>
      <w:r w:rsidR="001E2538">
        <w:rPr>
          <w:rFonts w:cstheme="minorHAnsi"/>
          <w:sz w:val="22"/>
          <w:szCs w:val="22"/>
        </w:rPr>
        <w:t xml:space="preserve"> </w:t>
      </w:r>
      <w:r w:rsidR="001E2538" w:rsidRPr="001E2538">
        <w:rPr>
          <w:rFonts w:cstheme="minorHAnsi"/>
          <w:sz w:val="22"/>
          <w:szCs w:val="22"/>
        </w:rPr>
        <w:t>to defuse and object</w:t>
      </w:r>
      <w:r w:rsidR="001E2538">
        <w:rPr>
          <w:rFonts w:cstheme="minorHAnsi"/>
          <w:sz w:val="22"/>
          <w:szCs w:val="22"/>
        </w:rPr>
        <w:t>,</w:t>
      </w:r>
      <w:r w:rsidR="001E2538" w:rsidRPr="001E2538">
        <w:rPr>
          <w:rFonts w:cstheme="minorHAnsi"/>
          <w:sz w:val="22"/>
          <w:szCs w:val="22"/>
        </w:rPr>
        <w:t xml:space="preserve"> and </w:t>
      </w:r>
      <w:r w:rsidR="00774A79">
        <w:rPr>
          <w:rFonts w:cstheme="minorHAnsi"/>
          <w:sz w:val="22"/>
          <w:szCs w:val="22"/>
        </w:rPr>
        <w:t xml:space="preserve">to </w:t>
      </w:r>
      <w:r w:rsidR="001E2538" w:rsidRPr="001E2538">
        <w:rPr>
          <w:rFonts w:cstheme="minorHAnsi"/>
          <w:sz w:val="22"/>
          <w:szCs w:val="22"/>
        </w:rPr>
        <w:t xml:space="preserve">turn the </w:t>
      </w:r>
      <w:r w:rsidR="001E2538">
        <w:rPr>
          <w:rFonts w:cstheme="minorHAnsi"/>
          <w:sz w:val="22"/>
          <w:szCs w:val="22"/>
        </w:rPr>
        <w:t xml:space="preserve">tide. </w:t>
      </w:r>
      <w:r w:rsidR="003D4158">
        <w:rPr>
          <w:rFonts w:cstheme="minorHAnsi"/>
          <w:sz w:val="22"/>
          <w:szCs w:val="22"/>
        </w:rPr>
        <w:t xml:space="preserve">It </w:t>
      </w:r>
      <w:r w:rsidR="0073774D">
        <w:rPr>
          <w:rFonts w:cstheme="minorHAnsi"/>
          <w:sz w:val="22"/>
          <w:szCs w:val="22"/>
        </w:rPr>
        <w:t>reveals how</w:t>
      </w:r>
      <w:r w:rsidR="003D4158">
        <w:rPr>
          <w:rFonts w:cstheme="minorHAnsi"/>
          <w:sz w:val="22"/>
          <w:szCs w:val="22"/>
        </w:rPr>
        <w:t xml:space="preserve"> a</w:t>
      </w:r>
      <w:r w:rsidR="00995B2C">
        <w:rPr>
          <w:rFonts w:cstheme="minorHAnsi"/>
          <w:sz w:val="22"/>
          <w:szCs w:val="22"/>
        </w:rPr>
        <w:t xml:space="preserve">rguments </w:t>
      </w:r>
      <w:r w:rsidR="0007767F">
        <w:rPr>
          <w:rFonts w:cstheme="minorHAnsi"/>
          <w:sz w:val="22"/>
          <w:szCs w:val="22"/>
        </w:rPr>
        <w:t>come in and out of fashion as intellectual trends shift. The arguments which carried the day at one point in time—arguments which remain good arguments today—can be lost sight of</w:t>
      </w:r>
      <w:r w:rsidR="0073774D">
        <w:rPr>
          <w:rFonts w:cstheme="minorHAnsi"/>
          <w:sz w:val="22"/>
          <w:szCs w:val="22"/>
        </w:rPr>
        <w:t>, a</w:t>
      </w:r>
      <w:r w:rsidR="00507B62">
        <w:rPr>
          <w:rFonts w:cstheme="minorHAnsi"/>
          <w:sz w:val="22"/>
          <w:szCs w:val="22"/>
        </w:rPr>
        <w:t>nd how</w:t>
      </w:r>
      <w:r w:rsidR="00A23299">
        <w:rPr>
          <w:rFonts w:cstheme="minorHAnsi"/>
          <w:sz w:val="22"/>
          <w:szCs w:val="22"/>
        </w:rPr>
        <w:t xml:space="preserve"> the ordinary and uncontroversial can</w:t>
      </w:r>
      <w:r w:rsidR="001E2538">
        <w:rPr>
          <w:rFonts w:cstheme="minorHAnsi"/>
          <w:sz w:val="22"/>
          <w:szCs w:val="22"/>
        </w:rPr>
        <w:t>,</w:t>
      </w:r>
      <w:r w:rsidR="00A23299">
        <w:rPr>
          <w:rFonts w:cstheme="minorHAnsi"/>
          <w:sz w:val="22"/>
          <w:szCs w:val="22"/>
        </w:rPr>
        <w:t xml:space="preserve"> though a lack of familiarity or </w:t>
      </w:r>
      <w:r w:rsidR="00902F72">
        <w:rPr>
          <w:rFonts w:cstheme="minorHAnsi"/>
          <w:sz w:val="22"/>
          <w:szCs w:val="22"/>
        </w:rPr>
        <w:t>changing political context</w:t>
      </w:r>
      <w:r w:rsidR="001E2538">
        <w:rPr>
          <w:rFonts w:cstheme="minorHAnsi"/>
          <w:sz w:val="22"/>
          <w:szCs w:val="22"/>
        </w:rPr>
        <w:t>,</w:t>
      </w:r>
      <w:r w:rsidR="00A23299">
        <w:rPr>
          <w:rFonts w:cstheme="minorHAnsi"/>
          <w:sz w:val="22"/>
          <w:szCs w:val="22"/>
        </w:rPr>
        <w:t xml:space="preserve"> be recast as dangerous, as the most drastic or extreme response to a situation.  </w:t>
      </w:r>
    </w:p>
    <w:p w14:paraId="27FA7B99" w14:textId="77777777" w:rsidR="0030300E" w:rsidRDefault="0030300E" w:rsidP="003D4158">
      <w:pPr>
        <w:spacing w:line="360" w:lineRule="auto"/>
        <w:rPr>
          <w:rFonts w:cstheme="minorHAnsi"/>
          <w:sz w:val="22"/>
          <w:szCs w:val="22"/>
        </w:rPr>
      </w:pPr>
    </w:p>
    <w:p w14:paraId="5E484C98" w14:textId="35E5F25B" w:rsidR="00507B62" w:rsidRDefault="00507B62">
      <w:pPr>
        <w:spacing w:line="360" w:lineRule="auto"/>
        <w:rPr>
          <w:rFonts w:cstheme="minorHAnsi"/>
          <w:sz w:val="22"/>
          <w:szCs w:val="22"/>
        </w:rPr>
      </w:pPr>
      <w:r>
        <w:rPr>
          <w:rFonts w:cstheme="minorHAnsi"/>
          <w:sz w:val="22"/>
          <w:szCs w:val="22"/>
        </w:rPr>
        <w:t>But</w:t>
      </w:r>
      <w:r w:rsidR="00904504">
        <w:rPr>
          <w:rFonts w:cstheme="minorHAnsi"/>
          <w:sz w:val="22"/>
          <w:szCs w:val="22"/>
        </w:rPr>
        <w:t>, as we have seen,</w:t>
      </w:r>
      <w:r>
        <w:rPr>
          <w:rFonts w:cstheme="minorHAnsi"/>
          <w:sz w:val="22"/>
          <w:szCs w:val="22"/>
        </w:rPr>
        <w:t xml:space="preserve"> f</w:t>
      </w:r>
      <w:r w:rsidR="00A23299">
        <w:rPr>
          <w:rFonts w:cstheme="minorHAnsi"/>
          <w:sz w:val="22"/>
          <w:szCs w:val="22"/>
        </w:rPr>
        <w:t xml:space="preserve">eminist legal history </w:t>
      </w:r>
      <w:r w:rsidR="0030300E">
        <w:rPr>
          <w:rFonts w:cstheme="minorHAnsi"/>
          <w:sz w:val="22"/>
          <w:szCs w:val="22"/>
        </w:rPr>
        <w:t xml:space="preserve">also </w:t>
      </w:r>
      <w:r w:rsidR="008C5F32">
        <w:rPr>
          <w:rFonts w:cstheme="minorHAnsi"/>
          <w:sz w:val="22"/>
          <w:szCs w:val="22"/>
        </w:rPr>
        <w:t>gives us a reason to continue talking about, and making the case for, judicial diversity.</w:t>
      </w:r>
      <w:r w:rsidR="008F0010">
        <w:rPr>
          <w:rFonts w:cstheme="minorHAnsi"/>
          <w:sz w:val="22"/>
          <w:szCs w:val="22"/>
        </w:rPr>
        <w:t xml:space="preserve"> </w:t>
      </w:r>
      <w:r w:rsidR="00A23299">
        <w:rPr>
          <w:rFonts w:cstheme="minorHAnsi"/>
          <w:sz w:val="22"/>
          <w:szCs w:val="22"/>
        </w:rPr>
        <w:t>It</w:t>
      </w:r>
      <w:r w:rsidR="003D4158">
        <w:rPr>
          <w:rFonts w:cstheme="minorHAnsi"/>
          <w:sz w:val="22"/>
          <w:szCs w:val="22"/>
        </w:rPr>
        <w:t xml:space="preserve"> teaches us that</w:t>
      </w:r>
      <w:r w:rsidR="00995B2C">
        <w:rPr>
          <w:rFonts w:cstheme="minorHAnsi"/>
          <w:sz w:val="22"/>
          <w:szCs w:val="22"/>
        </w:rPr>
        <w:t xml:space="preserve"> windows of opportunity </w:t>
      </w:r>
      <w:r w:rsidR="0007767F">
        <w:rPr>
          <w:rFonts w:cstheme="minorHAnsi"/>
          <w:sz w:val="22"/>
          <w:szCs w:val="22"/>
        </w:rPr>
        <w:t xml:space="preserve">may </w:t>
      </w:r>
      <w:r w:rsidR="00995B2C">
        <w:rPr>
          <w:rFonts w:cstheme="minorHAnsi"/>
          <w:sz w:val="22"/>
          <w:szCs w:val="22"/>
        </w:rPr>
        <w:t>open</w:t>
      </w:r>
      <w:r w:rsidR="003D4158">
        <w:rPr>
          <w:rFonts w:cstheme="minorHAnsi"/>
          <w:sz w:val="22"/>
          <w:szCs w:val="22"/>
        </w:rPr>
        <w:t xml:space="preserve"> only</w:t>
      </w:r>
      <w:r w:rsidR="00995B2C">
        <w:rPr>
          <w:rFonts w:cstheme="minorHAnsi"/>
          <w:sz w:val="22"/>
          <w:szCs w:val="22"/>
        </w:rPr>
        <w:t xml:space="preserve"> briefly</w:t>
      </w:r>
      <w:r w:rsidR="0007767F">
        <w:rPr>
          <w:rFonts w:cstheme="minorHAnsi"/>
          <w:sz w:val="22"/>
          <w:szCs w:val="22"/>
        </w:rPr>
        <w:t>;</w:t>
      </w:r>
      <w:r w:rsidR="00995B2C">
        <w:rPr>
          <w:rFonts w:cstheme="minorHAnsi"/>
          <w:sz w:val="22"/>
          <w:szCs w:val="22"/>
        </w:rPr>
        <w:t xml:space="preserve"> </w:t>
      </w:r>
      <w:r w:rsidR="003D4158">
        <w:rPr>
          <w:rFonts w:cstheme="minorHAnsi"/>
          <w:sz w:val="22"/>
          <w:szCs w:val="22"/>
        </w:rPr>
        <w:t xml:space="preserve">like the </w:t>
      </w:r>
      <w:r w:rsidR="009A4952">
        <w:rPr>
          <w:rFonts w:cstheme="minorHAnsi"/>
          <w:sz w:val="22"/>
          <w:szCs w:val="22"/>
        </w:rPr>
        <w:t>journeys</w:t>
      </w:r>
      <w:r w:rsidR="003D4158">
        <w:rPr>
          <w:rFonts w:cstheme="minorHAnsi"/>
          <w:sz w:val="22"/>
          <w:szCs w:val="22"/>
        </w:rPr>
        <w:t xml:space="preserve"> of the mermaids to the surface of the sea</w:t>
      </w:r>
      <w:r w:rsidR="0007767F">
        <w:rPr>
          <w:rFonts w:cstheme="minorHAnsi"/>
          <w:sz w:val="22"/>
          <w:szCs w:val="22"/>
        </w:rPr>
        <w:t xml:space="preserve">, </w:t>
      </w:r>
      <w:r w:rsidR="00995B2C">
        <w:rPr>
          <w:rFonts w:cstheme="minorHAnsi"/>
          <w:sz w:val="22"/>
          <w:szCs w:val="22"/>
        </w:rPr>
        <w:t xml:space="preserve">offering a glimpse on to </w:t>
      </w:r>
      <w:r w:rsidR="009A4952">
        <w:rPr>
          <w:rFonts w:cstheme="minorHAnsi"/>
          <w:sz w:val="22"/>
          <w:szCs w:val="22"/>
        </w:rPr>
        <w:t>new</w:t>
      </w:r>
      <w:r w:rsidR="00995B2C">
        <w:rPr>
          <w:rFonts w:cstheme="minorHAnsi"/>
          <w:sz w:val="22"/>
          <w:szCs w:val="22"/>
        </w:rPr>
        <w:t xml:space="preserve"> world</w:t>
      </w:r>
      <w:r w:rsidR="009A4952">
        <w:rPr>
          <w:rFonts w:cstheme="minorHAnsi"/>
          <w:sz w:val="22"/>
          <w:szCs w:val="22"/>
        </w:rPr>
        <w:t>s</w:t>
      </w:r>
      <w:r w:rsidR="003D4158">
        <w:rPr>
          <w:rFonts w:cstheme="minorHAnsi"/>
          <w:sz w:val="22"/>
          <w:szCs w:val="22"/>
        </w:rPr>
        <w:t xml:space="preserve">. </w:t>
      </w:r>
      <w:r w:rsidR="009A4952">
        <w:rPr>
          <w:rFonts w:cstheme="minorHAnsi"/>
          <w:sz w:val="22"/>
          <w:szCs w:val="22"/>
        </w:rPr>
        <w:t>And when they do, t</w:t>
      </w:r>
      <w:r w:rsidR="003D4158">
        <w:rPr>
          <w:rFonts w:cstheme="minorHAnsi"/>
          <w:sz w:val="22"/>
          <w:szCs w:val="22"/>
        </w:rPr>
        <w:t>he story of the</w:t>
      </w:r>
      <w:r w:rsidR="005A4EF0">
        <w:rPr>
          <w:rFonts w:cstheme="minorHAnsi"/>
          <w:sz w:val="22"/>
          <w:szCs w:val="22"/>
        </w:rPr>
        <w:t xml:space="preserve"> little mermaid’s</w:t>
      </w:r>
      <w:r w:rsidR="003D4158">
        <w:rPr>
          <w:rFonts w:cstheme="minorHAnsi"/>
          <w:sz w:val="22"/>
          <w:szCs w:val="22"/>
        </w:rPr>
        <w:t xml:space="preserve"> grandmother tells us that we need to </w:t>
      </w:r>
      <w:r w:rsidR="0007767F">
        <w:rPr>
          <w:rFonts w:cstheme="minorHAnsi"/>
          <w:sz w:val="22"/>
          <w:szCs w:val="22"/>
        </w:rPr>
        <w:t xml:space="preserve">be </w:t>
      </w:r>
      <w:r w:rsidR="00995B2C">
        <w:rPr>
          <w:rFonts w:cstheme="minorHAnsi"/>
          <w:sz w:val="22"/>
          <w:szCs w:val="22"/>
        </w:rPr>
        <w:t xml:space="preserve">ready </w:t>
      </w:r>
      <w:r w:rsidR="0007767F">
        <w:rPr>
          <w:rFonts w:cstheme="minorHAnsi"/>
          <w:sz w:val="22"/>
          <w:szCs w:val="22"/>
        </w:rPr>
        <w:t xml:space="preserve">to </w:t>
      </w:r>
      <w:r w:rsidR="003D4158">
        <w:rPr>
          <w:rFonts w:cstheme="minorHAnsi"/>
          <w:sz w:val="22"/>
          <w:szCs w:val="22"/>
        </w:rPr>
        <w:t>grasp the opportunities,</w:t>
      </w:r>
      <w:r w:rsidR="00995B2C">
        <w:rPr>
          <w:rFonts w:cstheme="minorHAnsi"/>
          <w:sz w:val="22"/>
          <w:szCs w:val="22"/>
        </w:rPr>
        <w:t xml:space="preserve"> </w:t>
      </w:r>
      <w:r w:rsidR="00C97252">
        <w:rPr>
          <w:rFonts w:cstheme="minorHAnsi"/>
          <w:sz w:val="22"/>
          <w:szCs w:val="22"/>
        </w:rPr>
        <w:t xml:space="preserve">ready </w:t>
      </w:r>
      <w:r w:rsidR="00995B2C">
        <w:rPr>
          <w:rFonts w:cstheme="minorHAnsi"/>
          <w:sz w:val="22"/>
          <w:szCs w:val="22"/>
        </w:rPr>
        <w:t xml:space="preserve">to make </w:t>
      </w:r>
      <w:r w:rsidR="0007767F">
        <w:rPr>
          <w:rFonts w:cstheme="minorHAnsi"/>
          <w:sz w:val="22"/>
          <w:szCs w:val="22"/>
        </w:rPr>
        <w:t xml:space="preserve">and remake </w:t>
      </w:r>
      <w:r w:rsidR="00995B2C">
        <w:rPr>
          <w:rFonts w:cstheme="minorHAnsi"/>
          <w:sz w:val="22"/>
          <w:szCs w:val="22"/>
        </w:rPr>
        <w:t>the argument</w:t>
      </w:r>
      <w:r w:rsidR="003D4158">
        <w:rPr>
          <w:rFonts w:cstheme="minorHAnsi"/>
          <w:sz w:val="22"/>
          <w:szCs w:val="22"/>
        </w:rPr>
        <w:t>s</w:t>
      </w:r>
      <w:r w:rsidR="00995B2C">
        <w:rPr>
          <w:rFonts w:cstheme="minorHAnsi"/>
          <w:sz w:val="22"/>
          <w:szCs w:val="22"/>
        </w:rPr>
        <w:t>,</w:t>
      </w:r>
      <w:r w:rsidR="003D4158">
        <w:rPr>
          <w:rFonts w:cstheme="minorHAnsi"/>
          <w:sz w:val="22"/>
          <w:szCs w:val="22"/>
        </w:rPr>
        <w:t xml:space="preserve"> to build on the commitment of those who have gone before</w:t>
      </w:r>
      <w:r w:rsidR="00C97252">
        <w:rPr>
          <w:rFonts w:cstheme="minorHAnsi"/>
          <w:sz w:val="22"/>
          <w:szCs w:val="22"/>
        </w:rPr>
        <w:t>.</w:t>
      </w:r>
      <w:r w:rsidR="003D4158">
        <w:rPr>
          <w:rFonts w:cstheme="minorHAnsi"/>
          <w:sz w:val="22"/>
          <w:szCs w:val="22"/>
        </w:rPr>
        <w:t xml:space="preserve"> </w:t>
      </w:r>
      <w:r>
        <w:rPr>
          <w:rFonts w:cstheme="minorHAnsi"/>
          <w:sz w:val="22"/>
          <w:szCs w:val="22"/>
        </w:rPr>
        <w:t>For it is only by continuing to make the case for diversity that we</w:t>
      </w:r>
      <w:r w:rsidR="001B6B22">
        <w:rPr>
          <w:rFonts w:cstheme="minorHAnsi"/>
          <w:sz w:val="22"/>
          <w:szCs w:val="22"/>
        </w:rPr>
        <w:t xml:space="preserve"> stand the best</w:t>
      </w:r>
      <w:r>
        <w:rPr>
          <w:rFonts w:cstheme="minorHAnsi"/>
          <w:sz w:val="22"/>
          <w:szCs w:val="22"/>
        </w:rPr>
        <w:t xml:space="preserve"> chance of securing a judiciary that is truly diverse.</w:t>
      </w:r>
    </w:p>
    <w:p w14:paraId="71BE614C" w14:textId="77777777" w:rsidR="001B6B22" w:rsidRDefault="001B6B22">
      <w:pPr>
        <w:spacing w:line="360" w:lineRule="auto"/>
        <w:rPr>
          <w:rFonts w:cstheme="minorHAnsi"/>
          <w:sz w:val="22"/>
          <w:szCs w:val="22"/>
        </w:rPr>
      </w:pPr>
    </w:p>
    <w:p w14:paraId="531D2A93" w14:textId="77777777" w:rsidR="000C04E7" w:rsidRDefault="000C04E7">
      <w:pPr>
        <w:spacing w:line="360" w:lineRule="auto"/>
        <w:rPr>
          <w:rFonts w:cstheme="minorHAnsi"/>
          <w:sz w:val="22"/>
          <w:szCs w:val="22"/>
        </w:rPr>
      </w:pPr>
    </w:p>
    <w:p w14:paraId="437D39CA" w14:textId="0586E09F" w:rsidR="000C04E7" w:rsidRPr="000C04E7" w:rsidRDefault="000C04E7" w:rsidP="000C04E7">
      <w:pPr>
        <w:spacing w:line="360" w:lineRule="auto"/>
        <w:jc w:val="center"/>
        <w:rPr>
          <w:rFonts w:cstheme="minorHAnsi"/>
          <w:b/>
          <w:bCs/>
          <w:sz w:val="22"/>
          <w:szCs w:val="22"/>
        </w:rPr>
      </w:pPr>
      <w:r w:rsidRPr="000C04E7">
        <w:rPr>
          <w:rFonts w:cstheme="minorHAnsi"/>
          <w:b/>
          <w:bCs/>
          <w:sz w:val="22"/>
          <w:szCs w:val="22"/>
        </w:rPr>
        <w:t>THE END</w:t>
      </w:r>
    </w:p>
    <w:p w14:paraId="4EBDD5D6" w14:textId="77777777" w:rsidR="009A4952" w:rsidRDefault="009A4952">
      <w:pPr>
        <w:spacing w:line="360" w:lineRule="auto"/>
        <w:rPr>
          <w:rFonts w:cstheme="minorHAnsi"/>
          <w:sz w:val="22"/>
          <w:szCs w:val="22"/>
        </w:rPr>
      </w:pPr>
    </w:p>
    <w:sectPr w:rsidR="009A4952" w:rsidSect="00CF4E35">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5E23" w14:textId="77777777" w:rsidR="003F5BF0" w:rsidRDefault="003F5BF0" w:rsidP="00C53C3B">
      <w:r>
        <w:separator/>
      </w:r>
    </w:p>
  </w:endnote>
  <w:endnote w:type="continuationSeparator" w:id="0">
    <w:p w14:paraId="12D2E17A" w14:textId="77777777" w:rsidR="003F5BF0" w:rsidRDefault="003F5BF0" w:rsidP="00C5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Effra Light">
    <w:altName w:val="Calibri"/>
    <w:panose1 w:val="020B0604020202020204"/>
    <w:charset w:val="00"/>
    <w:family w:val="swiss"/>
    <w:pitch w:val="default"/>
    <w:sig w:usb0="00000003" w:usb1="00000000" w:usb2="00000000" w:usb3="00000000" w:csb0="00000001" w:csb1="00000000"/>
  </w:font>
  <w:font w:name="Effra">
    <w:altName w:val="Calibri"/>
    <w:panose1 w:val="020B0604020202020204"/>
    <w:charset w:val="00"/>
    <w:family w:val="swiss"/>
    <w:pitch w:val="default"/>
    <w:sig w:usb0="00000003" w:usb1="00000000" w:usb2="00000000" w:usb3="00000000" w:csb0="00000001" w:csb1="00000000"/>
  </w:font>
  <w:font w:name="Code">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6863231"/>
      <w:docPartObj>
        <w:docPartGallery w:val="Page Numbers (Bottom of Page)"/>
        <w:docPartUnique/>
      </w:docPartObj>
    </w:sdtPr>
    <w:sdtContent>
      <w:p w14:paraId="006F0512" w14:textId="16E388DA" w:rsidR="00105EAF" w:rsidRDefault="00105EAF" w:rsidP="009455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606E2A" w14:textId="77777777" w:rsidR="00105EAF" w:rsidRDefault="00105EAF" w:rsidP="00105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915165758"/>
      <w:docPartObj>
        <w:docPartGallery w:val="Page Numbers (Bottom of Page)"/>
        <w:docPartUnique/>
      </w:docPartObj>
    </w:sdtPr>
    <w:sdtContent>
      <w:p w14:paraId="620C7AB6" w14:textId="34A09D04" w:rsidR="00105EAF" w:rsidRPr="002842F8" w:rsidRDefault="00105EAF" w:rsidP="002842F8">
        <w:pPr>
          <w:pStyle w:val="Footer"/>
          <w:framePr w:wrap="notBeside" w:vAnchor="text" w:hAnchor="margin" w:xAlign="center" w:y="1"/>
          <w:jc w:val="right"/>
          <w:rPr>
            <w:rStyle w:val="PageNumber"/>
            <w:sz w:val="18"/>
            <w:szCs w:val="18"/>
          </w:rPr>
        </w:pPr>
        <w:r w:rsidRPr="002842F8">
          <w:rPr>
            <w:rStyle w:val="PageNumber"/>
            <w:sz w:val="18"/>
            <w:szCs w:val="18"/>
          </w:rPr>
          <w:fldChar w:fldCharType="begin"/>
        </w:r>
        <w:r w:rsidRPr="002842F8">
          <w:rPr>
            <w:rStyle w:val="PageNumber"/>
            <w:sz w:val="18"/>
            <w:szCs w:val="18"/>
          </w:rPr>
          <w:instrText xml:space="preserve"> PAGE </w:instrText>
        </w:r>
        <w:r w:rsidRPr="002842F8">
          <w:rPr>
            <w:rStyle w:val="PageNumber"/>
            <w:sz w:val="18"/>
            <w:szCs w:val="18"/>
          </w:rPr>
          <w:fldChar w:fldCharType="separate"/>
        </w:r>
        <w:r w:rsidRPr="002842F8">
          <w:rPr>
            <w:rStyle w:val="PageNumber"/>
            <w:noProof/>
            <w:sz w:val="18"/>
            <w:szCs w:val="18"/>
          </w:rPr>
          <w:t>1</w:t>
        </w:r>
        <w:r w:rsidRPr="002842F8">
          <w:rPr>
            <w:rStyle w:val="PageNumber"/>
            <w:sz w:val="18"/>
            <w:szCs w:val="18"/>
          </w:rPr>
          <w:fldChar w:fldCharType="end"/>
        </w:r>
      </w:p>
    </w:sdtContent>
  </w:sdt>
  <w:p w14:paraId="0C16CEE9" w14:textId="77777777" w:rsidR="00105EAF" w:rsidRPr="00105EAF" w:rsidRDefault="00105EAF" w:rsidP="00105EAF">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C615" w14:textId="77777777" w:rsidR="003F5BF0" w:rsidRDefault="003F5BF0" w:rsidP="00C53C3B">
      <w:r>
        <w:separator/>
      </w:r>
    </w:p>
  </w:footnote>
  <w:footnote w:type="continuationSeparator" w:id="0">
    <w:p w14:paraId="52D766C8" w14:textId="77777777" w:rsidR="003F5BF0" w:rsidRDefault="003F5BF0" w:rsidP="00C53C3B">
      <w:r>
        <w:continuationSeparator/>
      </w:r>
    </w:p>
  </w:footnote>
  <w:footnote w:id="1">
    <w:p w14:paraId="58C88687" w14:textId="547DA01A" w:rsidR="007663B2" w:rsidRPr="001E2538" w:rsidRDefault="007663B2"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t>*</w:t>
      </w:r>
      <w:r w:rsidRPr="001E2538">
        <w:rPr>
          <w:rFonts w:asciiTheme="minorHAnsi" w:hAnsiTheme="minorHAnsi" w:cstheme="minorHAnsi"/>
          <w:sz w:val="18"/>
          <w:szCs w:val="18"/>
        </w:rPr>
        <w:t xml:space="preserve"> </w:t>
      </w:r>
      <w:r w:rsidR="003A5D4E" w:rsidRPr="001E2538">
        <w:rPr>
          <w:rFonts w:asciiTheme="minorHAnsi" w:hAnsiTheme="minorHAnsi" w:cstheme="minorHAnsi"/>
          <w:sz w:val="18"/>
          <w:szCs w:val="18"/>
        </w:rPr>
        <w:tab/>
      </w:r>
      <w:r w:rsidRPr="001E2538">
        <w:rPr>
          <w:rFonts w:asciiTheme="minorHAnsi" w:hAnsiTheme="minorHAnsi" w:cstheme="minorHAnsi"/>
          <w:sz w:val="18"/>
          <w:szCs w:val="18"/>
        </w:rPr>
        <w:t xml:space="preserve">Professor of Law, Kent Law School, University of Kent: </w:t>
      </w:r>
      <w:hyperlink r:id="rId1" w:history="1">
        <w:r w:rsidRPr="001E2538">
          <w:rPr>
            <w:rStyle w:val="Hyperlink"/>
            <w:rFonts w:asciiTheme="minorHAnsi" w:hAnsiTheme="minorHAnsi" w:cstheme="minorHAnsi"/>
            <w:color w:val="auto"/>
            <w:sz w:val="18"/>
            <w:szCs w:val="18"/>
          </w:rPr>
          <w:t>e.rackley@kent.ac.uk</w:t>
        </w:r>
      </w:hyperlink>
      <w:r w:rsidRPr="001E2538">
        <w:rPr>
          <w:rFonts w:asciiTheme="minorHAnsi" w:hAnsiTheme="minorHAnsi" w:cstheme="minorHAnsi"/>
          <w:sz w:val="18"/>
          <w:szCs w:val="18"/>
        </w:rPr>
        <w:t xml:space="preserve">. Thank you </w:t>
      </w:r>
      <w:r w:rsidR="00E5028D" w:rsidRPr="001E2538">
        <w:rPr>
          <w:rFonts w:asciiTheme="minorHAnsi" w:hAnsiTheme="minorHAnsi" w:cstheme="minorHAnsi"/>
          <w:sz w:val="18"/>
          <w:szCs w:val="18"/>
        </w:rPr>
        <w:t xml:space="preserve">to </w:t>
      </w:r>
      <w:r w:rsidRPr="001E2538">
        <w:rPr>
          <w:rFonts w:asciiTheme="minorHAnsi" w:hAnsiTheme="minorHAnsi" w:cstheme="minorHAnsi"/>
          <w:sz w:val="18"/>
          <w:szCs w:val="18"/>
        </w:rPr>
        <w:t xml:space="preserve">Lady Hale for chairing my CLP lecture on </w:t>
      </w:r>
      <w:r w:rsidR="00F21A5C" w:rsidRPr="001E2538">
        <w:rPr>
          <w:rFonts w:asciiTheme="minorHAnsi" w:hAnsiTheme="minorHAnsi" w:cstheme="minorHAnsi"/>
          <w:sz w:val="18"/>
          <w:szCs w:val="18"/>
        </w:rPr>
        <w:t>19</w:t>
      </w:r>
      <w:r w:rsidRPr="001E2538">
        <w:rPr>
          <w:rFonts w:asciiTheme="minorHAnsi" w:hAnsiTheme="minorHAnsi" w:cstheme="minorHAnsi"/>
          <w:sz w:val="18"/>
          <w:szCs w:val="18"/>
        </w:rPr>
        <w:t xml:space="preserve"> January 2023</w:t>
      </w:r>
      <w:r w:rsidR="00E5028D" w:rsidRPr="001E2538">
        <w:rPr>
          <w:rFonts w:asciiTheme="minorHAnsi" w:hAnsiTheme="minorHAnsi" w:cstheme="minorHAnsi"/>
          <w:sz w:val="18"/>
          <w:szCs w:val="18"/>
        </w:rPr>
        <w:t xml:space="preserve"> and to my colleagues who attended it. This</w:t>
      </w:r>
      <w:r w:rsidRPr="001E2538">
        <w:rPr>
          <w:rFonts w:asciiTheme="minorHAnsi" w:hAnsiTheme="minorHAnsi" w:cstheme="minorHAnsi"/>
          <w:sz w:val="18"/>
          <w:szCs w:val="18"/>
        </w:rPr>
        <w:t xml:space="preserve"> article is the direct and indirect beneficia</w:t>
      </w:r>
      <w:r w:rsidR="003A5D4E" w:rsidRPr="001E2538">
        <w:rPr>
          <w:rFonts w:asciiTheme="minorHAnsi" w:hAnsiTheme="minorHAnsi" w:cstheme="minorHAnsi"/>
          <w:sz w:val="18"/>
          <w:szCs w:val="18"/>
        </w:rPr>
        <w:t xml:space="preserve">ry of </w:t>
      </w:r>
      <w:r w:rsidR="002842F8" w:rsidRPr="001E2538">
        <w:rPr>
          <w:rFonts w:asciiTheme="minorHAnsi" w:hAnsiTheme="minorHAnsi" w:cstheme="minorHAnsi"/>
          <w:sz w:val="18"/>
          <w:szCs w:val="18"/>
        </w:rPr>
        <w:t xml:space="preserve">the </w:t>
      </w:r>
      <w:r w:rsidRPr="001E2538">
        <w:rPr>
          <w:rFonts w:asciiTheme="minorHAnsi" w:hAnsiTheme="minorHAnsi" w:cstheme="minorHAnsi"/>
          <w:sz w:val="18"/>
          <w:szCs w:val="18"/>
        </w:rPr>
        <w:t>expertise</w:t>
      </w:r>
      <w:r w:rsidR="003A5D4E" w:rsidRPr="001E2538">
        <w:rPr>
          <w:rFonts w:asciiTheme="minorHAnsi" w:hAnsiTheme="minorHAnsi" w:cstheme="minorHAnsi"/>
          <w:sz w:val="18"/>
          <w:szCs w:val="18"/>
        </w:rPr>
        <w:t xml:space="preserve"> </w:t>
      </w:r>
      <w:r w:rsidR="002842F8" w:rsidRPr="001E2538">
        <w:rPr>
          <w:rFonts w:asciiTheme="minorHAnsi" w:hAnsiTheme="minorHAnsi" w:cstheme="minorHAnsi"/>
          <w:sz w:val="18"/>
          <w:szCs w:val="18"/>
        </w:rPr>
        <w:t xml:space="preserve">and </w:t>
      </w:r>
      <w:r w:rsidR="003A5D4E" w:rsidRPr="001E2538">
        <w:rPr>
          <w:rFonts w:asciiTheme="minorHAnsi" w:hAnsiTheme="minorHAnsi" w:cstheme="minorHAnsi"/>
          <w:sz w:val="18"/>
          <w:szCs w:val="18"/>
        </w:rPr>
        <w:t>insights</w:t>
      </w:r>
      <w:r w:rsidR="002842F8" w:rsidRPr="001E2538">
        <w:rPr>
          <w:rFonts w:asciiTheme="minorHAnsi" w:hAnsiTheme="minorHAnsi" w:cstheme="minorHAnsi"/>
          <w:sz w:val="18"/>
          <w:szCs w:val="18"/>
        </w:rPr>
        <w:t xml:space="preserve"> of many colleagues</w:t>
      </w:r>
      <w:r w:rsidR="003A5D4E" w:rsidRPr="001E2538">
        <w:rPr>
          <w:rFonts w:asciiTheme="minorHAnsi" w:hAnsiTheme="minorHAnsi" w:cstheme="minorHAnsi"/>
          <w:sz w:val="18"/>
          <w:szCs w:val="18"/>
        </w:rPr>
        <w:t>.</w:t>
      </w:r>
      <w:r w:rsidR="00F21A5C" w:rsidRPr="001E2538">
        <w:rPr>
          <w:rFonts w:asciiTheme="minorHAnsi" w:hAnsiTheme="minorHAnsi" w:cstheme="minorHAnsi"/>
          <w:sz w:val="18"/>
          <w:szCs w:val="18"/>
        </w:rPr>
        <w:t xml:space="preserve"> S</w:t>
      </w:r>
      <w:r w:rsidR="00E5028D" w:rsidRPr="001E2538">
        <w:rPr>
          <w:rFonts w:asciiTheme="minorHAnsi" w:hAnsiTheme="minorHAnsi" w:cstheme="minorHAnsi"/>
          <w:sz w:val="18"/>
          <w:szCs w:val="18"/>
        </w:rPr>
        <w:t>pecific</w:t>
      </w:r>
      <w:r w:rsidR="00F21A5C" w:rsidRPr="001E2538">
        <w:rPr>
          <w:rFonts w:asciiTheme="minorHAnsi" w:hAnsiTheme="minorHAnsi" w:cstheme="minorHAnsi"/>
          <w:sz w:val="18"/>
          <w:szCs w:val="18"/>
        </w:rPr>
        <w:t xml:space="preserve"> thanks are due</w:t>
      </w:r>
      <w:r w:rsidR="00E5028D" w:rsidRPr="001E2538">
        <w:rPr>
          <w:rFonts w:asciiTheme="minorHAnsi" w:hAnsiTheme="minorHAnsi" w:cstheme="minorHAnsi"/>
          <w:sz w:val="18"/>
          <w:szCs w:val="18"/>
        </w:rPr>
        <w:t xml:space="preserve"> to Rosemary </w:t>
      </w:r>
      <w:proofErr w:type="spellStart"/>
      <w:r w:rsidR="00E5028D" w:rsidRPr="001E2538">
        <w:rPr>
          <w:rFonts w:asciiTheme="minorHAnsi" w:hAnsiTheme="minorHAnsi" w:cstheme="minorHAnsi"/>
          <w:sz w:val="18"/>
          <w:szCs w:val="18"/>
        </w:rPr>
        <w:t>Auchmuty</w:t>
      </w:r>
      <w:proofErr w:type="spellEnd"/>
      <w:r w:rsidR="00E5028D" w:rsidRPr="001E2538">
        <w:rPr>
          <w:rFonts w:asciiTheme="minorHAnsi" w:hAnsiTheme="minorHAnsi" w:cstheme="minorHAnsi"/>
          <w:sz w:val="18"/>
          <w:szCs w:val="18"/>
        </w:rPr>
        <w:t xml:space="preserve">, Caroline Derry, Anne Logan, Fiona de </w:t>
      </w:r>
      <w:proofErr w:type="spellStart"/>
      <w:r w:rsidR="00E5028D" w:rsidRPr="001E2538">
        <w:rPr>
          <w:rFonts w:asciiTheme="minorHAnsi" w:hAnsiTheme="minorHAnsi" w:cstheme="minorHAnsi"/>
          <w:sz w:val="18"/>
          <w:szCs w:val="18"/>
        </w:rPr>
        <w:t>Londras</w:t>
      </w:r>
      <w:proofErr w:type="spellEnd"/>
      <w:r w:rsidR="00E5028D" w:rsidRPr="001E2538">
        <w:rPr>
          <w:rFonts w:asciiTheme="minorHAnsi" w:hAnsiTheme="minorHAnsi" w:cstheme="minorHAnsi"/>
          <w:sz w:val="18"/>
          <w:szCs w:val="18"/>
        </w:rPr>
        <w:t xml:space="preserve">, Mari </w:t>
      </w:r>
      <w:proofErr w:type="spellStart"/>
      <w:r w:rsidR="00E5028D" w:rsidRPr="001E2538">
        <w:rPr>
          <w:rFonts w:asciiTheme="minorHAnsi" w:hAnsiTheme="minorHAnsi" w:cstheme="minorHAnsi"/>
          <w:sz w:val="18"/>
          <w:szCs w:val="18"/>
        </w:rPr>
        <w:t>Takayanagi</w:t>
      </w:r>
      <w:proofErr w:type="spellEnd"/>
      <w:r w:rsidR="00E5028D" w:rsidRPr="001E2538">
        <w:rPr>
          <w:rFonts w:asciiTheme="minorHAnsi" w:hAnsiTheme="minorHAnsi" w:cstheme="minorHAnsi"/>
          <w:sz w:val="18"/>
          <w:szCs w:val="18"/>
        </w:rPr>
        <w:t xml:space="preserve"> (</w:t>
      </w:r>
      <w:r w:rsidR="003A5D4E" w:rsidRPr="001E2538">
        <w:rPr>
          <w:rFonts w:asciiTheme="minorHAnsi" w:hAnsiTheme="minorHAnsi" w:cstheme="minorHAnsi"/>
          <w:sz w:val="18"/>
          <w:szCs w:val="18"/>
        </w:rPr>
        <w:t>p</w:t>
      </w:r>
      <w:r w:rsidR="00E5028D" w:rsidRPr="001E2538">
        <w:rPr>
          <w:rFonts w:asciiTheme="minorHAnsi" w:hAnsiTheme="minorHAnsi" w:cstheme="minorHAnsi"/>
          <w:sz w:val="18"/>
          <w:szCs w:val="18"/>
        </w:rPr>
        <w:t>arliamentary archives), Frances Tate (Middle Temple archives)</w:t>
      </w:r>
      <w:r w:rsidR="00B64F48" w:rsidRPr="001E2538">
        <w:rPr>
          <w:rFonts w:asciiTheme="minorHAnsi" w:hAnsiTheme="minorHAnsi" w:cstheme="minorHAnsi"/>
          <w:sz w:val="18"/>
          <w:szCs w:val="18"/>
        </w:rPr>
        <w:t>,</w:t>
      </w:r>
      <w:r w:rsidR="00DA3F82" w:rsidRPr="001E2538">
        <w:rPr>
          <w:rFonts w:asciiTheme="minorHAnsi" w:hAnsiTheme="minorHAnsi" w:cstheme="minorHAnsi"/>
          <w:sz w:val="18"/>
          <w:szCs w:val="18"/>
        </w:rPr>
        <w:t xml:space="preserve"> LSE Women’s Library</w:t>
      </w:r>
      <w:r w:rsidR="00B64F48" w:rsidRPr="001E2538">
        <w:rPr>
          <w:rFonts w:asciiTheme="minorHAnsi" w:hAnsiTheme="minorHAnsi" w:cstheme="minorHAnsi"/>
          <w:sz w:val="18"/>
          <w:szCs w:val="18"/>
        </w:rPr>
        <w:t xml:space="preserve"> </w:t>
      </w:r>
      <w:r w:rsidR="003A5D4E" w:rsidRPr="001E2538">
        <w:rPr>
          <w:rFonts w:asciiTheme="minorHAnsi" w:hAnsiTheme="minorHAnsi" w:cstheme="minorHAnsi"/>
          <w:sz w:val="18"/>
          <w:szCs w:val="18"/>
        </w:rPr>
        <w:t xml:space="preserve">and Charlie Webb as well as to </w:t>
      </w:r>
      <w:r w:rsidR="00F21A5C" w:rsidRPr="001E2538">
        <w:rPr>
          <w:rFonts w:asciiTheme="minorHAnsi" w:hAnsiTheme="minorHAnsi" w:cstheme="minorHAnsi"/>
          <w:sz w:val="18"/>
          <w:szCs w:val="18"/>
        </w:rPr>
        <w:t xml:space="preserve">the participants </w:t>
      </w:r>
      <w:r w:rsidR="002842F8" w:rsidRPr="001E2538">
        <w:rPr>
          <w:rFonts w:asciiTheme="minorHAnsi" w:hAnsiTheme="minorHAnsi" w:cstheme="minorHAnsi"/>
          <w:sz w:val="18"/>
          <w:szCs w:val="18"/>
        </w:rPr>
        <w:t>of</w:t>
      </w:r>
      <w:r w:rsidR="00F21A5C" w:rsidRPr="001E2538">
        <w:rPr>
          <w:rFonts w:asciiTheme="minorHAnsi" w:hAnsiTheme="minorHAnsi" w:cstheme="minorHAnsi"/>
          <w:sz w:val="18"/>
          <w:szCs w:val="18"/>
        </w:rPr>
        <w:t xml:space="preserve"> the Women’s Legal Landmarks project</w:t>
      </w:r>
      <w:r w:rsidR="002842F8" w:rsidRPr="001E2538">
        <w:rPr>
          <w:rFonts w:asciiTheme="minorHAnsi" w:hAnsiTheme="minorHAnsi" w:cstheme="minorHAnsi"/>
          <w:sz w:val="18"/>
          <w:szCs w:val="18"/>
        </w:rPr>
        <w:t>s</w:t>
      </w:r>
      <w:r w:rsidR="003A5D4E" w:rsidRPr="001E2538">
        <w:rPr>
          <w:rFonts w:asciiTheme="minorHAnsi" w:hAnsiTheme="minorHAnsi" w:cstheme="minorHAnsi"/>
          <w:sz w:val="18"/>
          <w:szCs w:val="18"/>
        </w:rPr>
        <w:t>. Thanks too</w:t>
      </w:r>
      <w:r w:rsidR="00F21A5C" w:rsidRPr="001E2538">
        <w:rPr>
          <w:rFonts w:asciiTheme="minorHAnsi" w:hAnsiTheme="minorHAnsi" w:cstheme="minorHAnsi"/>
          <w:sz w:val="18"/>
          <w:szCs w:val="18"/>
        </w:rPr>
        <w:t xml:space="preserve"> </w:t>
      </w:r>
      <w:r w:rsidR="00E5028D" w:rsidRPr="001E2538">
        <w:rPr>
          <w:rFonts w:asciiTheme="minorHAnsi" w:hAnsiTheme="minorHAnsi" w:cstheme="minorHAnsi"/>
          <w:sz w:val="18"/>
          <w:szCs w:val="18"/>
        </w:rPr>
        <w:t xml:space="preserve">to Deni </w:t>
      </w:r>
      <w:proofErr w:type="spellStart"/>
      <w:r w:rsidR="00E5028D" w:rsidRPr="001E2538">
        <w:rPr>
          <w:rFonts w:asciiTheme="minorHAnsi" w:hAnsiTheme="minorHAnsi" w:cstheme="minorHAnsi"/>
          <w:sz w:val="18"/>
          <w:szCs w:val="18"/>
        </w:rPr>
        <w:t>Mantzari</w:t>
      </w:r>
      <w:proofErr w:type="spellEnd"/>
      <w:r w:rsidR="00F21A5C" w:rsidRPr="001E2538">
        <w:rPr>
          <w:rFonts w:asciiTheme="minorHAnsi" w:hAnsiTheme="minorHAnsi" w:cstheme="minorHAnsi"/>
          <w:sz w:val="18"/>
          <w:szCs w:val="18"/>
        </w:rPr>
        <w:t xml:space="preserve"> and the CLP editors for the invitation to give </w:t>
      </w:r>
      <w:r w:rsidR="003A5D4E" w:rsidRPr="001E2538">
        <w:rPr>
          <w:rFonts w:asciiTheme="minorHAnsi" w:hAnsiTheme="minorHAnsi" w:cstheme="minorHAnsi"/>
          <w:sz w:val="18"/>
          <w:szCs w:val="18"/>
        </w:rPr>
        <w:t>the</w:t>
      </w:r>
      <w:r w:rsidR="00F21A5C" w:rsidRPr="001E2538">
        <w:rPr>
          <w:rFonts w:asciiTheme="minorHAnsi" w:hAnsiTheme="minorHAnsi" w:cstheme="minorHAnsi"/>
          <w:sz w:val="18"/>
          <w:szCs w:val="18"/>
        </w:rPr>
        <w:t xml:space="preserve"> lecture</w:t>
      </w:r>
      <w:r w:rsidR="003A5D4E" w:rsidRPr="001E2538">
        <w:rPr>
          <w:rFonts w:asciiTheme="minorHAnsi" w:hAnsiTheme="minorHAnsi" w:cstheme="minorHAnsi"/>
          <w:sz w:val="18"/>
          <w:szCs w:val="18"/>
        </w:rPr>
        <w:t xml:space="preserve"> on which this article is based</w:t>
      </w:r>
      <w:r w:rsidR="00F21A5C" w:rsidRPr="001E2538">
        <w:rPr>
          <w:rFonts w:asciiTheme="minorHAnsi" w:hAnsiTheme="minorHAnsi" w:cstheme="minorHAnsi"/>
          <w:sz w:val="18"/>
          <w:szCs w:val="18"/>
        </w:rPr>
        <w:t>,</w:t>
      </w:r>
      <w:r w:rsidR="00D46F57" w:rsidRPr="001E2538">
        <w:rPr>
          <w:rFonts w:asciiTheme="minorHAnsi" w:hAnsiTheme="minorHAnsi" w:cstheme="minorHAnsi"/>
          <w:sz w:val="18"/>
          <w:szCs w:val="18"/>
        </w:rPr>
        <w:t xml:space="preserve"> to </w:t>
      </w:r>
      <w:r w:rsidR="00DB7158" w:rsidRPr="001E2538">
        <w:rPr>
          <w:rFonts w:asciiTheme="minorHAnsi" w:hAnsiTheme="minorHAnsi" w:cstheme="minorHAnsi"/>
          <w:sz w:val="18"/>
          <w:szCs w:val="18"/>
        </w:rPr>
        <w:t>the CLP reviewers</w:t>
      </w:r>
      <w:r w:rsidR="00D46F57" w:rsidRPr="001E2538">
        <w:rPr>
          <w:rFonts w:asciiTheme="minorHAnsi" w:hAnsiTheme="minorHAnsi" w:cstheme="minorHAnsi"/>
          <w:sz w:val="18"/>
          <w:szCs w:val="18"/>
        </w:rPr>
        <w:t>,</w:t>
      </w:r>
      <w:r w:rsidR="00F21A5C" w:rsidRPr="001E2538">
        <w:rPr>
          <w:rFonts w:asciiTheme="minorHAnsi" w:hAnsiTheme="minorHAnsi" w:cstheme="minorHAnsi"/>
          <w:sz w:val="18"/>
          <w:szCs w:val="18"/>
        </w:rPr>
        <w:t xml:space="preserve"> and to Cat Balogun and Emma Blackman for their excellent administrative assistance</w:t>
      </w:r>
      <w:r w:rsidR="00DA3F82" w:rsidRPr="001E2538">
        <w:rPr>
          <w:rFonts w:asciiTheme="minorHAnsi" w:hAnsiTheme="minorHAnsi" w:cstheme="minorHAnsi"/>
          <w:sz w:val="18"/>
          <w:szCs w:val="18"/>
        </w:rPr>
        <w:t xml:space="preserve"> in the organisation of the lecture</w:t>
      </w:r>
      <w:r w:rsidR="00F21A5C" w:rsidRPr="001E2538">
        <w:rPr>
          <w:rFonts w:asciiTheme="minorHAnsi" w:hAnsiTheme="minorHAnsi" w:cstheme="minorHAnsi"/>
          <w:sz w:val="18"/>
          <w:szCs w:val="18"/>
        </w:rPr>
        <w:t xml:space="preserve">. I gratefully acknowledge the support of the Philip Leverhulme Trust in the </w:t>
      </w:r>
      <w:r w:rsidR="00B64F48" w:rsidRPr="001E2538">
        <w:rPr>
          <w:rFonts w:asciiTheme="minorHAnsi" w:hAnsiTheme="minorHAnsi" w:cstheme="minorHAnsi"/>
          <w:sz w:val="18"/>
          <w:szCs w:val="18"/>
        </w:rPr>
        <w:t>preparation of earlier</w:t>
      </w:r>
      <w:r w:rsidR="00F21A5C" w:rsidRPr="001E2538">
        <w:rPr>
          <w:rFonts w:asciiTheme="minorHAnsi" w:hAnsiTheme="minorHAnsi" w:cstheme="minorHAnsi"/>
          <w:sz w:val="18"/>
          <w:szCs w:val="18"/>
        </w:rPr>
        <w:t xml:space="preserve"> </w:t>
      </w:r>
      <w:r w:rsidR="00B64F48" w:rsidRPr="001E2538">
        <w:rPr>
          <w:rFonts w:asciiTheme="minorHAnsi" w:hAnsiTheme="minorHAnsi" w:cstheme="minorHAnsi"/>
          <w:sz w:val="18"/>
          <w:szCs w:val="18"/>
        </w:rPr>
        <w:t>versions</w:t>
      </w:r>
      <w:r w:rsidR="00F21A5C" w:rsidRPr="001E2538">
        <w:rPr>
          <w:rFonts w:asciiTheme="minorHAnsi" w:hAnsiTheme="minorHAnsi" w:cstheme="minorHAnsi"/>
          <w:sz w:val="18"/>
          <w:szCs w:val="18"/>
        </w:rPr>
        <w:t xml:space="preserve"> of this article (PLP-2014–193). </w:t>
      </w:r>
    </w:p>
  </w:footnote>
  <w:footnote w:id="2">
    <w:p w14:paraId="0C24BBCD" w14:textId="551776F9" w:rsidR="00FC7B3F" w:rsidRPr="001E2538" w:rsidRDefault="00FC7B3F"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605F2C" w:rsidRPr="001E2538">
        <w:rPr>
          <w:rFonts w:asciiTheme="minorHAnsi" w:hAnsiTheme="minorHAnsi" w:cstheme="minorHAnsi"/>
          <w:sz w:val="18"/>
          <w:szCs w:val="18"/>
        </w:rPr>
        <w:tab/>
        <w:t>All references</w:t>
      </w:r>
      <w:r w:rsidR="006C0DCA" w:rsidRPr="001E2538">
        <w:rPr>
          <w:rFonts w:asciiTheme="minorHAnsi" w:hAnsiTheme="minorHAnsi" w:cstheme="minorHAnsi"/>
          <w:sz w:val="18"/>
          <w:szCs w:val="18"/>
        </w:rPr>
        <w:t xml:space="preserve"> to </w:t>
      </w:r>
      <w:r w:rsidR="006C0DCA" w:rsidRPr="001E2538">
        <w:rPr>
          <w:rFonts w:asciiTheme="minorHAnsi" w:hAnsiTheme="minorHAnsi" w:cstheme="minorHAnsi"/>
          <w:i/>
          <w:iCs/>
          <w:sz w:val="18"/>
          <w:szCs w:val="18"/>
        </w:rPr>
        <w:t xml:space="preserve">The Little Mermaid </w:t>
      </w:r>
      <w:r w:rsidR="006C0DCA" w:rsidRPr="001E2538">
        <w:rPr>
          <w:rFonts w:asciiTheme="minorHAnsi" w:hAnsiTheme="minorHAnsi" w:cstheme="minorHAnsi"/>
          <w:sz w:val="18"/>
          <w:szCs w:val="18"/>
        </w:rPr>
        <w:t xml:space="preserve">in this article </w:t>
      </w:r>
      <w:r w:rsidR="00605F2C" w:rsidRPr="001E2538">
        <w:rPr>
          <w:rFonts w:asciiTheme="minorHAnsi" w:hAnsiTheme="minorHAnsi" w:cstheme="minorHAnsi"/>
          <w:sz w:val="18"/>
          <w:szCs w:val="18"/>
        </w:rPr>
        <w:t>are taken from</w:t>
      </w:r>
      <w:r w:rsidR="006C0DCA" w:rsidRPr="001E2538">
        <w:rPr>
          <w:rFonts w:asciiTheme="minorHAnsi" w:hAnsiTheme="minorHAnsi" w:cstheme="minorHAnsi"/>
          <w:sz w:val="18"/>
          <w:szCs w:val="18"/>
        </w:rPr>
        <w:t xml:space="preserve"> ‘The Little Mermaid’ in</w:t>
      </w:r>
      <w:r w:rsidR="00605F2C" w:rsidRPr="001E2538">
        <w:rPr>
          <w:rFonts w:asciiTheme="minorHAnsi" w:hAnsiTheme="minorHAnsi" w:cstheme="minorHAnsi"/>
          <w:sz w:val="18"/>
          <w:szCs w:val="18"/>
        </w:rPr>
        <w:t xml:space="preserve"> </w:t>
      </w:r>
      <w:r w:rsidR="003E59D5" w:rsidRPr="001E2538">
        <w:rPr>
          <w:rFonts w:asciiTheme="minorHAnsi" w:hAnsiTheme="minorHAnsi" w:cstheme="minorHAnsi"/>
          <w:sz w:val="18"/>
          <w:szCs w:val="18"/>
        </w:rPr>
        <w:t>L W Kingsland</w:t>
      </w:r>
      <w:r w:rsidR="00DF4C18" w:rsidRPr="001E2538">
        <w:rPr>
          <w:rFonts w:asciiTheme="minorHAnsi" w:hAnsiTheme="minorHAnsi" w:cstheme="minorHAnsi"/>
          <w:sz w:val="18"/>
          <w:szCs w:val="18"/>
        </w:rPr>
        <w:t xml:space="preserve"> </w:t>
      </w:r>
      <w:r w:rsidR="003E59D5" w:rsidRPr="001E2538">
        <w:rPr>
          <w:rFonts w:asciiTheme="minorHAnsi" w:hAnsiTheme="minorHAnsi" w:cstheme="minorHAnsi"/>
          <w:sz w:val="18"/>
          <w:szCs w:val="18"/>
        </w:rPr>
        <w:t>(</w:t>
      </w:r>
      <w:proofErr w:type="spellStart"/>
      <w:r w:rsidR="003E59D5" w:rsidRPr="001E2538">
        <w:rPr>
          <w:rFonts w:asciiTheme="minorHAnsi" w:hAnsiTheme="minorHAnsi" w:cstheme="minorHAnsi"/>
          <w:sz w:val="18"/>
          <w:szCs w:val="18"/>
        </w:rPr>
        <w:t>trs</w:t>
      </w:r>
      <w:proofErr w:type="spellEnd"/>
      <w:r w:rsidR="003E59D5" w:rsidRPr="001E2538">
        <w:rPr>
          <w:rFonts w:asciiTheme="minorHAnsi" w:hAnsiTheme="minorHAnsi" w:cstheme="minorHAnsi"/>
          <w:sz w:val="18"/>
          <w:szCs w:val="18"/>
        </w:rPr>
        <w:t>)</w:t>
      </w:r>
      <w:r w:rsidR="00DF4C18" w:rsidRPr="001E2538">
        <w:rPr>
          <w:rFonts w:asciiTheme="minorHAnsi" w:hAnsiTheme="minorHAnsi" w:cstheme="minorHAnsi"/>
          <w:sz w:val="18"/>
          <w:szCs w:val="18"/>
        </w:rPr>
        <w:t>,</w:t>
      </w:r>
      <w:r w:rsidR="003E59D5" w:rsidRPr="001E2538">
        <w:rPr>
          <w:rFonts w:asciiTheme="minorHAnsi" w:hAnsiTheme="minorHAnsi" w:cstheme="minorHAnsi"/>
          <w:sz w:val="18"/>
          <w:szCs w:val="18"/>
        </w:rPr>
        <w:t xml:space="preserve"> </w:t>
      </w:r>
      <w:r w:rsidR="00605F2C" w:rsidRPr="001E2538">
        <w:rPr>
          <w:rFonts w:asciiTheme="minorHAnsi" w:hAnsiTheme="minorHAnsi" w:cstheme="minorHAnsi"/>
          <w:i/>
          <w:iCs/>
          <w:sz w:val="18"/>
          <w:szCs w:val="18"/>
        </w:rPr>
        <w:t>Hans Andersen</w:t>
      </w:r>
      <w:r w:rsidR="003E59D5" w:rsidRPr="001E2538">
        <w:rPr>
          <w:rFonts w:asciiTheme="minorHAnsi" w:hAnsiTheme="minorHAnsi" w:cstheme="minorHAnsi"/>
          <w:i/>
          <w:iCs/>
          <w:sz w:val="18"/>
          <w:szCs w:val="18"/>
        </w:rPr>
        <w:t>’s</w:t>
      </w:r>
      <w:r w:rsidR="00605F2C" w:rsidRPr="001E2538">
        <w:rPr>
          <w:rFonts w:asciiTheme="minorHAnsi" w:hAnsiTheme="minorHAnsi" w:cstheme="minorHAnsi"/>
          <w:i/>
          <w:iCs/>
          <w:sz w:val="18"/>
          <w:szCs w:val="18"/>
        </w:rPr>
        <w:t xml:space="preserve"> Fairy Tales: A Section </w:t>
      </w:r>
      <w:r w:rsidR="00605F2C" w:rsidRPr="001E2538">
        <w:rPr>
          <w:rFonts w:asciiTheme="minorHAnsi" w:hAnsiTheme="minorHAnsi" w:cstheme="minorHAnsi"/>
          <w:sz w:val="18"/>
          <w:szCs w:val="18"/>
        </w:rPr>
        <w:t>(Oxford University Press 1959) 76-</w:t>
      </w:r>
      <w:r w:rsidR="003E59D5" w:rsidRPr="001E2538">
        <w:rPr>
          <w:rFonts w:asciiTheme="minorHAnsi" w:hAnsiTheme="minorHAnsi" w:cstheme="minorHAnsi"/>
          <w:sz w:val="18"/>
          <w:szCs w:val="18"/>
        </w:rPr>
        <w:t>106</w:t>
      </w:r>
      <w:r w:rsidR="00605F2C" w:rsidRPr="001E2538">
        <w:rPr>
          <w:rFonts w:asciiTheme="minorHAnsi" w:hAnsiTheme="minorHAnsi" w:cstheme="minorHAnsi"/>
          <w:sz w:val="18"/>
          <w:szCs w:val="18"/>
        </w:rPr>
        <w:t>.</w:t>
      </w:r>
    </w:p>
  </w:footnote>
  <w:footnote w:id="3">
    <w:p w14:paraId="1006F174" w14:textId="5F27F480" w:rsidR="005274A9" w:rsidRPr="001E2538" w:rsidRDefault="005274A9"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The little mermaid refuses. The story ends with her throwing herself back into the sea – only to find herself cast into 300-year purgatory as a ‘daughter of the air’.</w:t>
      </w:r>
    </w:p>
  </w:footnote>
  <w:footnote w:id="4">
    <w:p w14:paraId="4DADDE8E" w14:textId="25EC133E" w:rsidR="00605F2C" w:rsidRPr="001E2538" w:rsidRDefault="00605F2C"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Erika Rackley</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‘Representations of the (woman) judge: Hercules, the little mermaid, and the vain and naked emperor’ (2002) 22(4) </w:t>
      </w:r>
      <w:r w:rsidRPr="001E2538">
        <w:rPr>
          <w:rFonts w:asciiTheme="minorHAnsi" w:hAnsiTheme="minorHAnsi" w:cstheme="minorHAnsi"/>
          <w:i/>
          <w:iCs/>
          <w:sz w:val="18"/>
          <w:szCs w:val="18"/>
        </w:rPr>
        <w:t>Legal Studies</w:t>
      </w:r>
      <w:r w:rsidRPr="001E2538">
        <w:rPr>
          <w:rFonts w:asciiTheme="minorHAnsi" w:hAnsiTheme="minorHAnsi" w:cstheme="minorHAnsi"/>
          <w:sz w:val="18"/>
          <w:szCs w:val="18"/>
        </w:rPr>
        <w:t xml:space="preserve"> 602.</w:t>
      </w:r>
    </w:p>
  </w:footnote>
  <w:footnote w:id="5">
    <w:p w14:paraId="38267F6D" w14:textId="2A5ECA75" w:rsidR="00605F2C" w:rsidRPr="001E2538" w:rsidRDefault="00605F2C" w:rsidP="00E723E9">
      <w:pPr>
        <w:adjustRightInd w:val="0"/>
        <w:snapToGrid w:val="0"/>
        <w:rPr>
          <w:rFonts w:cstheme="minorHAnsi"/>
          <w:sz w:val="18"/>
          <w:szCs w:val="18"/>
        </w:rPr>
      </w:pPr>
      <w:r w:rsidRPr="001E2538">
        <w:rPr>
          <w:rStyle w:val="FootnoteReference"/>
          <w:rFonts w:cstheme="minorHAnsi"/>
          <w:sz w:val="18"/>
          <w:szCs w:val="18"/>
        </w:rPr>
        <w:footnoteRef/>
      </w:r>
      <w:r w:rsidR="00C35FA9" w:rsidRPr="001E2538">
        <w:rPr>
          <w:rFonts w:cstheme="minorHAnsi"/>
          <w:sz w:val="18"/>
          <w:szCs w:val="18"/>
        </w:rPr>
        <w:t xml:space="preserve"> </w:t>
      </w:r>
      <w:r w:rsidR="008A4DB8" w:rsidRPr="001E2538">
        <w:rPr>
          <w:rFonts w:cstheme="minorHAnsi"/>
          <w:sz w:val="18"/>
          <w:szCs w:val="18"/>
        </w:rPr>
        <w:tab/>
      </w:r>
      <w:r w:rsidR="00C35FA9" w:rsidRPr="001E2538">
        <w:rPr>
          <w:rFonts w:cstheme="minorHAnsi"/>
          <w:sz w:val="18"/>
          <w:szCs w:val="18"/>
        </w:rPr>
        <w:t xml:space="preserve">Most recently in Carey Young’s video exhibition ‘Appearance’ (Modern Art Oxford 2023). See also </w:t>
      </w:r>
      <w:r w:rsidR="008A4DB8" w:rsidRPr="001E2538">
        <w:rPr>
          <w:rFonts w:cstheme="minorHAnsi"/>
          <w:sz w:val="18"/>
          <w:szCs w:val="18"/>
        </w:rPr>
        <w:t>Brenda</w:t>
      </w:r>
      <w:r w:rsidR="00C35FA9" w:rsidRPr="001E2538">
        <w:rPr>
          <w:rFonts w:cstheme="minorHAnsi"/>
          <w:sz w:val="18"/>
          <w:szCs w:val="18"/>
        </w:rPr>
        <w:t xml:space="preserve"> Hale</w:t>
      </w:r>
      <w:r w:rsidR="004F7A5E" w:rsidRPr="001E2538">
        <w:rPr>
          <w:rFonts w:cstheme="minorHAnsi"/>
          <w:sz w:val="18"/>
          <w:szCs w:val="18"/>
        </w:rPr>
        <w:t>,</w:t>
      </w:r>
      <w:r w:rsidR="00C35FA9" w:rsidRPr="001E2538">
        <w:rPr>
          <w:rFonts w:cstheme="minorHAnsi"/>
          <w:sz w:val="18"/>
          <w:szCs w:val="18"/>
        </w:rPr>
        <w:t xml:space="preserve"> ‘</w:t>
      </w:r>
      <w:r w:rsidR="00C35FA9" w:rsidRPr="001E2538">
        <w:rPr>
          <w:rFonts w:eastAsiaTheme="minorEastAsia" w:cstheme="minorHAnsi"/>
          <w:sz w:val="18"/>
          <w:szCs w:val="18"/>
          <w:lang w:val="en-US"/>
        </w:rPr>
        <w:t xml:space="preserve">Equality and the judiciary: why should we want more women judges?’ (2001) </w:t>
      </w:r>
      <w:r w:rsidR="00C35FA9" w:rsidRPr="001E2538">
        <w:rPr>
          <w:rFonts w:eastAsiaTheme="minorEastAsia" w:cstheme="minorHAnsi"/>
          <w:i/>
          <w:iCs/>
          <w:sz w:val="18"/>
          <w:szCs w:val="18"/>
          <w:lang w:val="en-US"/>
        </w:rPr>
        <w:t>Public Law</w:t>
      </w:r>
      <w:r w:rsidR="00C35FA9" w:rsidRPr="001E2538">
        <w:rPr>
          <w:rFonts w:eastAsiaTheme="minorEastAsia" w:cstheme="minorHAnsi"/>
          <w:sz w:val="18"/>
          <w:szCs w:val="18"/>
          <w:lang w:val="en-US"/>
        </w:rPr>
        <w:t xml:space="preserve"> 489, 496</w:t>
      </w:r>
      <w:r w:rsidR="005C2F75" w:rsidRPr="001E2538">
        <w:rPr>
          <w:rFonts w:eastAsiaTheme="minorEastAsia" w:cstheme="minorHAnsi"/>
          <w:sz w:val="18"/>
          <w:szCs w:val="18"/>
          <w:lang w:val="en-US"/>
        </w:rPr>
        <w:t>-498</w:t>
      </w:r>
      <w:r w:rsidR="00C35FA9" w:rsidRPr="001E2538">
        <w:rPr>
          <w:rFonts w:eastAsiaTheme="minorEastAsia" w:cstheme="minorHAnsi"/>
          <w:sz w:val="18"/>
          <w:szCs w:val="18"/>
          <w:lang w:val="en-US"/>
        </w:rPr>
        <w:t>;</w:t>
      </w:r>
      <w:r w:rsidR="00C35FA9" w:rsidRPr="001E2538">
        <w:rPr>
          <w:rFonts w:cstheme="minorHAnsi"/>
          <w:sz w:val="18"/>
          <w:szCs w:val="18"/>
        </w:rPr>
        <w:t xml:space="preserve"> Justice Susan </w:t>
      </w:r>
      <w:proofErr w:type="spellStart"/>
      <w:r w:rsidR="00C35FA9" w:rsidRPr="001E2538">
        <w:rPr>
          <w:rFonts w:cstheme="minorHAnsi"/>
          <w:sz w:val="18"/>
          <w:szCs w:val="18"/>
        </w:rPr>
        <w:t>Glazebrook</w:t>
      </w:r>
      <w:proofErr w:type="spellEnd"/>
      <w:r w:rsidR="004F7A5E" w:rsidRPr="001E2538">
        <w:rPr>
          <w:rFonts w:cstheme="minorHAnsi"/>
          <w:sz w:val="18"/>
          <w:szCs w:val="18"/>
        </w:rPr>
        <w:t>,</w:t>
      </w:r>
      <w:r w:rsidR="00C35FA9" w:rsidRPr="001E2538">
        <w:rPr>
          <w:rFonts w:cstheme="minorHAnsi"/>
          <w:sz w:val="18"/>
          <w:szCs w:val="18"/>
        </w:rPr>
        <w:t xml:space="preserve"> </w:t>
      </w:r>
      <w:r w:rsidR="00C35FA9" w:rsidRPr="001E2538">
        <w:rPr>
          <w:rFonts w:cstheme="minorHAnsi"/>
          <w:sz w:val="18"/>
          <w:szCs w:val="18"/>
          <w:lang w:val="en-US"/>
        </w:rPr>
        <w:t xml:space="preserve">‘Chapman Tripp – Women in Law event’, </w:t>
      </w:r>
      <w:r w:rsidR="00C35FA9" w:rsidRPr="001E2538">
        <w:rPr>
          <w:rFonts w:cstheme="minorHAnsi"/>
          <w:sz w:val="18"/>
          <w:szCs w:val="18"/>
        </w:rPr>
        <w:t xml:space="preserve">November 2007; </w:t>
      </w:r>
      <w:r w:rsidR="008A4DB8" w:rsidRPr="001E2538">
        <w:rPr>
          <w:rFonts w:cstheme="minorHAnsi"/>
          <w:sz w:val="18"/>
          <w:szCs w:val="18"/>
        </w:rPr>
        <w:t>Mrs Justice Dobbs</w:t>
      </w:r>
      <w:r w:rsidR="004F7A5E" w:rsidRPr="001E2538">
        <w:rPr>
          <w:rFonts w:cstheme="minorHAnsi"/>
          <w:sz w:val="18"/>
          <w:szCs w:val="18"/>
        </w:rPr>
        <w:t>,</w:t>
      </w:r>
      <w:r w:rsidR="008A4DB8" w:rsidRPr="001E2538">
        <w:rPr>
          <w:rFonts w:cstheme="minorHAnsi"/>
          <w:sz w:val="18"/>
          <w:szCs w:val="18"/>
        </w:rPr>
        <w:t xml:space="preserve"> ‘Diversity in the Judiciary’ Queen Mary, University of London, October 2007; </w:t>
      </w:r>
      <w:r w:rsidR="00C35FA9" w:rsidRPr="001E2538">
        <w:rPr>
          <w:rFonts w:cstheme="minorHAnsi"/>
          <w:sz w:val="18"/>
          <w:szCs w:val="18"/>
        </w:rPr>
        <w:t>Justice McMurdo AC</w:t>
      </w:r>
      <w:r w:rsidR="004F7A5E" w:rsidRPr="001E2538">
        <w:rPr>
          <w:rFonts w:cstheme="minorHAnsi"/>
          <w:sz w:val="18"/>
          <w:szCs w:val="18"/>
        </w:rPr>
        <w:t>,</w:t>
      </w:r>
      <w:r w:rsidR="00C35FA9" w:rsidRPr="001E2538">
        <w:rPr>
          <w:rFonts w:cstheme="minorHAnsi"/>
          <w:sz w:val="18"/>
          <w:szCs w:val="18"/>
        </w:rPr>
        <w:t xml:space="preserve"> ‘Women at the Bar: Speech Night Celebrations, Report Cards and Doing Better Next Year’, ‘Address to the Women Barristers Association Annual Celebratory Dinner</w:t>
      </w:r>
      <w:r w:rsidR="008A4DB8" w:rsidRPr="001E2538">
        <w:rPr>
          <w:rFonts w:cstheme="minorHAnsi"/>
          <w:sz w:val="18"/>
          <w:szCs w:val="18"/>
        </w:rPr>
        <w:t xml:space="preserve">, September 2010; </w:t>
      </w:r>
      <w:r w:rsidR="008A4DB8" w:rsidRPr="001E2538">
        <w:rPr>
          <w:rFonts w:cstheme="minorHAnsi"/>
          <w:sz w:val="18"/>
          <w:szCs w:val="18"/>
          <w:lang w:val="en-US"/>
        </w:rPr>
        <w:t>Anne Perkins</w:t>
      </w:r>
      <w:r w:rsidR="004F7A5E" w:rsidRPr="001E2538">
        <w:rPr>
          <w:rFonts w:cstheme="minorHAnsi"/>
          <w:sz w:val="18"/>
          <w:szCs w:val="18"/>
          <w:lang w:val="en-US"/>
        </w:rPr>
        <w:t>,</w:t>
      </w:r>
      <w:r w:rsidR="008A4DB8" w:rsidRPr="001E2538">
        <w:rPr>
          <w:rFonts w:cstheme="minorHAnsi"/>
          <w:sz w:val="18"/>
          <w:szCs w:val="18"/>
          <w:lang w:val="en-US"/>
        </w:rPr>
        <w:t xml:space="preserve"> ‘Thank you Lady Hale, for shifting the supreme court’s view on marriage’ </w:t>
      </w:r>
      <w:r w:rsidR="008A4DB8" w:rsidRPr="001E2538">
        <w:rPr>
          <w:rFonts w:cstheme="minorHAnsi"/>
          <w:i/>
          <w:iCs/>
          <w:sz w:val="18"/>
          <w:szCs w:val="18"/>
          <w:lang w:val="en-US"/>
        </w:rPr>
        <w:t>The Guardian</w:t>
      </w:r>
      <w:r w:rsidR="008A4DB8" w:rsidRPr="001E2538">
        <w:rPr>
          <w:rFonts w:cstheme="minorHAnsi"/>
          <w:sz w:val="18"/>
          <w:szCs w:val="18"/>
          <w:lang w:val="en-US"/>
        </w:rPr>
        <w:t xml:space="preserve"> 8 February 2017; </w:t>
      </w:r>
      <w:r w:rsidRPr="001E2538">
        <w:rPr>
          <w:rFonts w:cstheme="minorHAnsi"/>
          <w:sz w:val="18"/>
          <w:szCs w:val="18"/>
        </w:rPr>
        <w:t>Tom Hickey</w:t>
      </w:r>
      <w:r w:rsidR="004F7A5E" w:rsidRPr="001E2538">
        <w:rPr>
          <w:rFonts w:cstheme="minorHAnsi"/>
          <w:sz w:val="18"/>
          <w:szCs w:val="18"/>
        </w:rPr>
        <w:t>,</w:t>
      </w:r>
      <w:r w:rsidRPr="001E2538">
        <w:rPr>
          <w:rFonts w:cstheme="minorHAnsi"/>
          <w:sz w:val="18"/>
          <w:szCs w:val="18"/>
        </w:rPr>
        <w:t xml:space="preserve"> ‘Hercules as a Feminist Judge? Revisiting Rackley’s </w:t>
      </w:r>
      <w:r w:rsidRPr="001E2538">
        <w:rPr>
          <w:rFonts w:cstheme="minorHAnsi"/>
          <w:i/>
          <w:iCs/>
          <w:sz w:val="18"/>
          <w:szCs w:val="18"/>
        </w:rPr>
        <w:t>Little Mermaid</w:t>
      </w:r>
      <w:r w:rsidRPr="001E2538">
        <w:rPr>
          <w:rFonts w:cstheme="minorHAnsi"/>
          <w:sz w:val="18"/>
          <w:szCs w:val="18"/>
        </w:rPr>
        <w:t xml:space="preserve"> </w:t>
      </w:r>
      <w:r w:rsidR="00397606" w:rsidRPr="001E2538">
        <w:rPr>
          <w:rFonts w:cstheme="minorHAnsi"/>
          <w:sz w:val="18"/>
          <w:szCs w:val="18"/>
        </w:rPr>
        <w:t>in the wake of the Feminist</w:t>
      </w:r>
      <w:r w:rsidRPr="001E2538">
        <w:rPr>
          <w:rFonts w:cstheme="minorHAnsi"/>
          <w:sz w:val="18"/>
          <w:szCs w:val="18"/>
        </w:rPr>
        <w:t xml:space="preserve"> Judgments Projects’ (2020) </w:t>
      </w:r>
      <w:r w:rsidRPr="001E2538">
        <w:rPr>
          <w:rFonts w:cstheme="minorHAnsi"/>
          <w:i/>
          <w:iCs/>
          <w:sz w:val="18"/>
          <w:szCs w:val="18"/>
        </w:rPr>
        <w:t>Legal Studies</w:t>
      </w:r>
      <w:r w:rsidR="00397606" w:rsidRPr="001E2538">
        <w:rPr>
          <w:rFonts w:cstheme="minorHAnsi"/>
          <w:sz w:val="18"/>
          <w:szCs w:val="18"/>
        </w:rPr>
        <w:t xml:space="preserve"> 494</w:t>
      </w:r>
      <w:r w:rsidR="003E59D5" w:rsidRPr="001E2538">
        <w:rPr>
          <w:rFonts w:cstheme="minorHAnsi"/>
          <w:sz w:val="18"/>
          <w:szCs w:val="18"/>
        </w:rPr>
        <w:t>;</w:t>
      </w:r>
      <w:r w:rsidRPr="001E2538">
        <w:rPr>
          <w:rFonts w:cstheme="minorHAnsi"/>
          <w:i/>
          <w:iCs/>
          <w:sz w:val="18"/>
          <w:szCs w:val="18"/>
        </w:rPr>
        <w:t xml:space="preserve"> </w:t>
      </w:r>
      <w:r w:rsidRPr="001E2538">
        <w:rPr>
          <w:rFonts w:cstheme="minorHAnsi"/>
          <w:sz w:val="18"/>
          <w:szCs w:val="18"/>
        </w:rPr>
        <w:t>Loveday Hodson</w:t>
      </w:r>
      <w:r w:rsidR="004F7A5E" w:rsidRPr="001E2538">
        <w:rPr>
          <w:rFonts w:cstheme="minorHAnsi"/>
          <w:sz w:val="18"/>
          <w:szCs w:val="18"/>
        </w:rPr>
        <w:t>,</w:t>
      </w:r>
      <w:r w:rsidRPr="001E2538">
        <w:rPr>
          <w:rFonts w:cstheme="minorHAnsi"/>
          <w:sz w:val="18"/>
          <w:szCs w:val="18"/>
        </w:rPr>
        <w:t xml:space="preserve"> ‘Gender and the international judge: Towards a transformative equality approach’</w:t>
      </w:r>
      <w:r w:rsidRPr="001E2538">
        <w:rPr>
          <w:rFonts w:cstheme="minorHAnsi"/>
          <w:i/>
          <w:iCs/>
          <w:sz w:val="18"/>
          <w:szCs w:val="18"/>
        </w:rPr>
        <w:t xml:space="preserve"> </w:t>
      </w:r>
      <w:r w:rsidRPr="001E2538">
        <w:rPr>
          <w:rFonts w:cstheme="minorHAnsi"/>
          <w:sz w:val="18"/>
          <w:szCs w:val="18"/>
        </w:rPr>
        <w:t xml:space="preserve">(2022) </w:t>
      </w:r>
      <w:r w:rsidRPr="001E2538">
        <w:rPr>
          <w:rFonts w:cstheme="minorHAnsi"/>
          <w:i/>
          <w:iCs/>
          <w:sz w:val="18"/>
          <w:szCs w:val="18"/>
        </w:rPr>
        <w:t>Leiden Journal of International Law</w:t>
      </w:r>
      <w:r w:rsidRPr="001E2538">
        <w:rPr>
          <w:rFonts w:cstheme="minorHAnsi"/>
          <w:sz w:val="18"/>
          <w:szCs w:val="18"/>
        </w:rPr>
        <w:t xml:space="preserve"> 1.</w:t>
      </w:r>
      <w:r w:rsidR="008A4DB8" w:rsidRPr="001E2538">
        <w:rPr>
          <w:rFonts w:cstheme="minorHAnsi"/>
          <w:sz w:val="18"/>
          <w:szCs w:val="18"/>
        </w:rPr>
        <w:t xml:space="preserve"> </w:t>
      </w:r>
    </w:p>
  </w:footnote>
  <w:footnote w:id="6">
    <w:p w14:paraId="7FC49021" w14:textId="23204C74" w:rsidR="008A4DB8" w:rsidRPr="001E2538" w:rsidRDefault="008A4DB8"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CF0AAE" w:rsidRPr="001E2538">
        <w:rPr>
          <w:rFonts w:asciiTheme="minorHAnsi" w:hAnsiTheme="minorHAnsi" w:cstheme="minorHAnsi"/>
          <w:sz w:val="18"/>
          <w:szCs w:val="18"/>
        </w:rPr>
        <w:t xml:space="preserve">Lady Hale was the first and only woman appointed to the Appellate Committee of the House of Lords in 2004. In 2009, she was the first woman appointed to the UK Supreme Court, becoming its Deputy President in 2013 and President in </w:t>
      </w:r>
      <w:r w:rsidR="00291F89" w:rsidRPr="001E2538">
        <w:rPr>
          <w:rFonts w:asciiTheme="minorHAnsi" w:hAnsiTheme="minorHAnsi" w:cstheme="minorHAnsi"/>
          <w:sz w:val="18"/>
          <w:szCs w:val="18"/>
        </w:rPr>
        <w:t>2017</w:t>
      </w:r>
      <w:r w:rsidR="00CF0AAE" w:rsidRPr="001E2538">
        <w:rPr>
          <w:rFonts w:asciiTheme="minorHAnsi" w:hAnsiTheme="minorHAnsi" w:cstheme="minorHAnsi"/>
          <w:sz w:val="18"/>
          <w:szCs w:val="18"/>
        </w:rPr>
        <w:t xml:space="preserve"> – the first</w:t>
      </w:r>
      <w:r w:rsidR="001568A3">
        <w:rPr>
          <w:rFonts w:asciiTheme="minorHAnsi" w:hAnsiTheme="minorHAnsi" w:cstheme="minorHAnsi"/>
          <w:sz w:val="18"/>
          <w:szCs w:val="18"/>
        </w:rPr>
        <w:t>,</w:t>
      </w:r>
      <w:r w:rsidR="00CF0AAE" w:rsidRPr="001E2538">
        <w:rPr>
          <w:rFonts w:asciiTheme="minorHAnsi" w:hAnsiTheme="minorHAnsi" w:cstheme="minorHAnsi"/>
          <w:sz w:val="18"/>
          <w:szCs w:val="18"/>
        </w:rPr>
        <w:t xml:space="preserve"> and to date only</w:t>
      </w:r>
      <w:r w:rsidR="001568A3">
        <w:rPr>
          <w:rFonts w:asciiTheme="minorHAnsi" w:hAnsiTheme="minorHAnsi" w:cstheme="minorHAnsi"/>
          <w:sz w:val="18"/>
          <w:szCs w:val="18"/>
        </w:rPr>
        <w:t>,</w:t>
      </w:r>
      <w:r w:rsidR="00CF0AAE" w:rsidRPr="001E2538">
        <w:rPr>
          <w:rFonts w:asciiTheme="minorHAnsi" w:hAnsiTheme="minorHAnsi" w:cstheme="minorHAnsi"/>
          <w:sz w:val="18"/>
          <w:szCs w:val="18"/>
        </w:rPr>
        <w:t xml:space="preserve"> woman to do so. </w:t>
      </w:r>
      <w:r w:rsidR="002F6C1A" w:rsidRPr="001E2538">
        <w:rPr>
          <w:rFonts w:asciiTheme="minorHAnsi" w:hAnsiTheme="minorHAnsi" w:cstheme="minorHAnsi"/>
          <w:sz w:val="18"/>
          <w:szCs w:val="18"/>
        </w:rPr>
        <w:t>In 2005 Lady Hale concluded a lecture at Queen’s University Belfast, with the assertion that she had ‘absolutely no intention of turning into the little mermaid’ (Lady Hale</w:t>
      </w:r>
      <w:r w:rsidR="004F7A5E" w:rsidRPr="001E2538">
        <w:rPr>
          <w:rFonts w:asciiTheme="minorHAnsi" w:hAnsiTheme="minorHAnsi" w:cstheme="minorHAnsi"/>
          <w:sz w:val="18"/>
          <w:szCs w:val="18"/>
        </w:rPr>
        <w:t>,</w:t>
      </w:r>
      <w:r w:rsidR="002F6C1A" w:rsidRPr="001E2538">
        <w:rPr>
          <w:rFonts w:asciiTheme="minorHAnsi" w:hAnsiTheme="minorHAnsi" w:cstheme="minorHAnsi"/>
          <w:sz w:val="18"/>
          <w:szCs w:val="18"/>
        </w:rPr>
        <w:t xml:space="preserve"> ‘Making a Difference? Why we need a More Diverse Judiciary’ (2005) </w:t>
      </w:r>
      <w:r w:rsidR="002F6C1A" w:rsidRPr="001E2538">
        <w:rPr>
          <w:rFonts w:asciiTheme="minorHAnsi" w:hAnsiTheme="minorHAnsi" w:cstheme="minorHAnsi"/>
          <w:i/>
          <w:iCs/>
          <w:sz w:val="18"/>
          <w:szCs w:val="18"/>
        </w:rPr>
        <w:t xml:space="preserve">Northern Ireland Legal Quarterly </w:t>
      </w:r>
      <w:r w:rsidR="002F6C1A" w:rsidRPr="001E2538">
        <w:rPr>
          <w:rFonts w:asciiTheme="minorHAnsi" w:hAnsiTheme="minorHAnsi" w:cstheme="minorHAnsi"/>
          <w:sz w:val="18"/>
          <w:szCs w:val="18"/>
        </w:rPr>
        <w:t>281, 292</w:t>
      </w:r>
      <w:r w:rsidR="005274A9" w:rsidRPr="001E2538">
        <w:rPr>
          <w:rFonts w:asciiTheme="minorHAnsi" w:hAnsiTheme="minorHAnsi" w:cstheme="minorHAnsi"/>
          <w:sz w:val="18"/>
          <w:szCs w:val="18"/>
        </w:rPr>
        <w:t>)</w:t>
      </w:r>
      <w:r w:rsidR="002F6C1A" w:rsidRPr="001E2538">
        <w:rPr>
          <w:rFonts w:asciiTheme="minorHAnsi" w:hAnsiTheme="minorHAnsi" w:cstheme="minorHAnsi"/>
          <w:sz w:val="18"/>
          <w:szCs w:val="18"/>
        </w:rPr>
        <w:t>. She remained true to this throughout her judicial career. For examples, see</w:t>
      </w:r>
      <w:r w:rsidR="00732A25" w:rsidRPr="001E2538">
        <w:rPr>
          <w:rFonts w:asciiTheme="minorHAnsi" w:hAnsiTheme="minorHAnsi" w:cstheme="minorHAnsi"/>
          <w:sz w:val="18"/>
          <w:szCs w:val="18"/>
        </w:rPr>
        <w:t xml:space="preserve"> Erika Rackley, ‘</w:t>
      </w:r>
      <w:r w:rsidR="008D3584" w:rsidRPr="001E2538">
        <w:rPr>
          <w:rFonts w:asciiTheme="minorHAnsi" w:hAnsiTheme="minorHAnsi" w:cstheme="minorHAnsi"/>
          <w:sz w:val="18"/>
          <w:szCs w:val="18"/>
        </w:rPr>
        <w:t xml:space="preserve">Difference in the House of Lords’ (2006) 15(2) </w:t>
      </w:r>
      <w:r w:rsidR="008D3584" w:rsidRPr="001E2538">
        <w:rPr>
          <w:rFonts w:asciiTheme="minorHAnsi" w:hAnsiTheme="minorHAnsi" w:cstheme="minorHAnsi"/>
          <w:i/>
          <w:iCs/>
          <w:sz w:val="18"/>
          <w:szCs w:val="18"/>
        </w:rPr>
        <w:t xml:space="preserve">Social and Legal Studies </w:t>
      </w:r>
      <w:r w:rsidR="008D3584" w:rsidRPr="001E2538">
        <w:rPr>
          <w:rFonts w:asciiTheme="minorHAnsi" w:hAnsiTheme="minorHAnsi" w:cstheme="minorHAnsi"/>
          <w:sz w:val="18"/>
          <w:szCs w:val="18"/>
        </w:rPr>
        <w:t>163;</w:t>
      </w:r>
      <w:r w:rsidR="002F6C1A" w:rsidRPr="001E2538">
        <w:rPr>
          <w:rFonts w:asciiTheme="minorHAnsi" w:hAnsiTheme="minorHAnsi" w:cstheme="minorHAnsi"/>
          <w:sz w:val="18"/>
          <w:szCs w:val="18"/>
        </w:rPr>
        <w:t xml:space="preserve"> </w:t>
      </w:r>
      <w:r w:rsidRPr="001E2538">
        <w:rPr>
          <w:rFonts w:asciiTheme="minorHAnsi" w:hAnsiTheme="minorHAnsi" w:cstheme="minorHAnsi"/>
          <w:sz w:val="18"/>
          <w:szCs w:val="18"/>
        </w:rPr>
        <w:t>Erika Rackley</w:t>
      </w:r>
      <w:r w:rsidR="004F7A5E" w:rsidRPr="001E2538">
        <w:rPr>
          <w:rFonts w:asciiTheme="minorHAnsi" w:hAnsiTheme="minorHAnsi" w:cstheme="minorHAnsi"/>
          <w:sz w:val="18"/>
          <w:szCs w:val="18"/>
        </w:rPr>
        <w:t>,</w:t>
      </w:r>
      <w:r w:rsidR="00E64A4D"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Women Judging and the Judiciary: From Difference to Diversity</w:t>
      </w:r>
      <w:r w:rsidRPr="001E2538">
        <w:rPr>
          <w:rFonts w:asciiTheme="minorHAnsi" w:hAnsiTheme="minorHAnsi" w:cstheme="minorHAnsi"/>
          <w:sz w:val="18"/>
          <w:szCs w:val="18"/>
        </w:rPr>
        <w:t xml:space="preserve"> (Routledge 2013) </w:t>
      </w:r>
      <w:proofErr w:type="spellStart"/>
      <w:r w:rsidRPr="001E2538">
        <w:rPr>
          <w:rFonts w:asciiTheme="minorHAnsi" w:hAnsiTheme="minorHAnsi" w:cstheme="minorHAnsi"/>
          <w:sz w:val="18"/>
          <w:szCs w:val="18"/>
        </w:rPr>
        <w:t>chs</w:t>
      </w:r>
      <w:proofErr w:type="spellEnd"/>
      <w:r w:rsidRPr="001E2538">
        <w:rPr>
          <w:rFonts w:asciiTheme="minorHAnsi" w:hAnsiTheme="minorHAnsi" w:cstheme="minorHAnsi"/>
          <w:sz w:val="18"/>
          <w:szCs w:val="18"/>
        </w:rPr>
        <w:t xml:space="preserve"> </w:t>
      </w:r>
      <w:r w:rsidR="0091741D" w:rsidRPr="001E2538">
        <w:rPr>
          <w:rFonts w:asciiTheme="minorHAnsi" w:hAnsiTheme="minorHAnsi" w:cstheme="minorHAnsi"/>
          <w:sz w:val="18"/>
          <w:szCs w:val="18"/>
        </w:rPr>
        <w:t>5 and 6</w:t>
      </w:r>
      <w:r w:rsidR="002F6C1A" w:rsidRPr="001E2538">
        <w:rPr>
          <w:rFonts w:asciiTheme="minorHAnsi" w:hAnsiTheme="minorHAnsi" w:cstheme="minorHAnsi"/>
          <w:sz w:val="18"/>
          <w:szCs w:val="18"/>
        </w:rPr>
        <w:t xml:space="preserve"> and</w:t>
      </w:r>
      <w:r w:rsidRPr="001E2538">
        <w:rPr>
          <w:rFonts w:asciiTheme="minorHAnsi" w:hAnsiTheme="minorHAnsi" w:cstheme="minorHAnsi"/>
          <w:sz w:val="18"/>
          <w:szCs w:val="18"/>
        </w:rPr>
        <w:t xml:space="preserve"> Rosemary Hunter and Erika Rackley (eds)</w:t>
      </w:r>
      <w:r w:rsidR="00DF4C18"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Justice for Everyone: The Jurisprudence and Legal Lives of Brenda Hale</w:t>
      </w:r>
      <w:r w:rsidRPr="001E2538">
        <w:rPr>
          <w:rFonts w:asciiTheme="minorHAnsi" w:hAnsiTheme="minorHAnsi" w:cstheme="minorHAnsi"/>
          <w:sz w:val="18"/>
          <w:szCs w:val="18"/>
        </w:rPr>
        <w:t xml:space="preserve"> (Cambridge University Press 2022). </w:t>
      </w:r>
    </w:p>
  </w:footnote>
  <w:footnote w:id="7">
    <w:p w14:paraId="53321BB0" w14:textId="446C3501" w:rsidR="00687175" w:rsidRPr="001E2538" w:rsidRDefault="00687175"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The ‘Feminist Judgments Projects’ (FJP) involve feminist academics, activists and legal practitioners writing alternative feminist judgments to key legal cases. </w:t>
      </w:r>
      <w:r w:rsidR="001053BA" w:rsidRPr="001E2538">
        <w:rPr>
          <w:rFonts w:asciiTheme="minorHAnsi" w:hAnsiTheme="minorHAnsi" w:cstheme="minorHAnsi"/>
          <w:sz w:val="18"/>
          <w:szCs w:val="18"/>
        </w:rPr>
        <w:t>The feminist judgments</w:t>
      </w:r>
      <w:r w:rsidRPr="001E2538">
        <w:rPr>
          <w:rFonts w:asciiTheme="minorHAnsi" w:hAnsiTheme="minorHAnsi" w:cstheme="minorHAnsi"/>
          <w:sz w:val="18"/>
          <w:szCs w:val="18"/>
        </w:rPr>
        <w:t xml:space="preserve"> provide a practical demonstration of how, with a differently constituted judiciary, judgments could have been written and cases could have been decided differently. Beginning with the Women’s Court of Canada in 2006, there</w:t>
      </w:r>
      <w:r w:rsidR="001053BA" w:rsidRPr="001E2538">
        <w:rPr>
          <w:rFonts w:asciiTheme="minorHAnsi" w:hAnsiTheme="minorHAnsi" w:cstheme="minorHAnsi"/>
          <w:sz w:val="18"/>
          <w:szCs w:val="18"/>
        </w:rPr>
        <w:t xml:space="preserve"> are, or</w:t>
      </w:r>
      <w:r w:rsidRPr="001E2538">
        <w:rPr>
          <w:rFonts w:asciiTheme="minorHAnsi" w:hAnsiTheme="minorHAnsi" w:cstheme="minorHAnsi"/>
          <w:sz w:val="18"/>
          <w:szCs w:val="18"/>
        </w:rPr>
        <w:t xml:space="preserve"> have</w:t>
      </w:r>
      <w:r w:rsidR="001053BA" w:rsidRPr="001E2538">
        <w:rPr>
          <w:rFonts w:asciiTheme="minorHAnsi" w:hAnsiTheme="minorHAnsi" w:cstheme="minorHAnsi"/>
          <w:sz w:val="18"/>
          <w:szCs w:val="18"/>
        </w:rPr>
        <w:t xml:space="preserve"> </w:t>
      </w:r>
      <w:r w:rsidRPr="001E2538">
        <w:rPr>
          <w:rFonts w:asciiTheme="minorHAnsi" w:hAnsiTheme="minorHAnsi" w:cstheme="minorHAnsi"/>
          <w:sz w:val="18"/>
          <w:szCs w:val="18"/>
        </w:rPr>
        <w:t>been</w:t>
      </w:r>
      <w:r w:rsidR="001053BA" w:rsidRPr="001E2538">
        <w:rPr>
          <w:rFonts w:asciiTheme="minorHAnsi" w:hAnsiTheme="minorHAnsi" w:cstheme="minorHAnsi"/>
          <w:sz w:val="18"/>
          <w:szCs w:val="18"/>
        </w:rPr>
        <w:t>,</w:t>
      </w:r>
      <w:r w:rsidRPr="001E2538">
        <w:rPr>
          <w:rFonts w:asciiTheme="minorHAnsi" w:hAnsiTheme="minorHAnsi" w:cstheme="minorHAnsi"/>
          <w:sz w:val="18"/>
          <w:szCs w:val="18"/>
        </w:rPr>
        <w:t xml:space="preserve"> FJPs in the UK, Northern/Ireland, Scotland, Australia, New Zealand, the US, India</w:t>
      </w:r>
      <w:r w:rsidR="001053BA" w:rsidRPr="001E2538">
        <w:rPr>
          <w:rFonts w:asciiTheme="minorHAnsi" w:hAnsiTheme="minorHAnsi" w:cstheme="minorHAnsi"/>
          <w:sz w:val="18"/>
          <w:szCs w:val="18"/>
        </w:rPr>
        <w:t xml:space="preserve">, Brazil, in Central and Eastern Europe as well as projects focusing on international law, the International Criminal Court and African case law. See further </w:t>
      </w:r>
      <w:hyperlink r:id="rId2" w:history="1">
        <w:r w:rsidR="001053BA" w:rsidRPr="001E2538">
          <w:rPr>
            <w:rStyle w:val="Hyperlink"/>
            <w:rFonts w:asciiTheme="minorHAnsi" w:hAnsiTheme="minorHAnsi" w:cstheme="minorHAnsi"/>
            <w:color w:val="auto"/>
            <w:sz w:val="18"/>
            <w:szCs w:val="18"/>
          </w:rPr>
          <w:t>https://criticaljudgments.com</w:t>
        </w:r>
      </w:hyperlink>
      <w:r w:rsidR="001053BA" w:rsidRPr="001E2538">
        <w:rPr>
          <w:rFonts w:asciiTheme="minorHAnsi" w:hAnsiTheme="minorHAnsi" w:cstheme="minorHAnsi"/>
          <w:sz w:val="18"/>
          <w:szCs w:val="18"/>
        </w:rPr>
        <w:t xml:space="preserve">. </w:t>
      </w:r>
    </w:p>
  </w:footnote>
  <w:footnote w:id="8">
    <w:p w14:paraId="00650D18" w14:textId="5FE91271" w:rsidR="00C31D48" w:rsidRPr="001E2538" w:rsidRDefault="00C31D48"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See Hans Christian Andersen</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The Little Mermaid and Other Tales</w:t>
      </w:r>
      <w:r w:rsidRPr="001E2538">
        <w:rPr>
          <w:rFonts w:asciiTheme="minorHAnsi" w:hAnsiTheme="minorHAnsi" w:cstheme="minorHAnsi"/>
          <w:sz w:val="18"/>
          <w:szCs w:val="18"/>
        </w:rPr>
        <w:t xml:space="preserve"> (Harper Design 2018) 18, 40.</w:t>
      </w:r>
    </w:p>
  </w:footnote>
  <w:footnote w:id="9">
    <w:p w14:paraId="514E9527" w14:textId="03BBDF64" w:rsidR="007D00EF" w:rsidRPr="001E2538" w:rsidRDefault="007D00EF"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Andersen n </w:t>
      </w:r>
      <w:r w:rsidR="003738E5" w:rsidRPr="001E2538">
        <w:rPr>
          <w:rFonts w:asciiTheme="minorHAnsi" w:hAnsiTheme="minorHAnsi" w:cstheme="minorHAnsi"/>
          <w:sz w:val="18"/>
          <w:szCs w:val="18"/>
        </w:rPr>
        <w:t>1,</w:t>
      </w:r>
      <w:r w:rsidRPr="001E2538">
        <w:rPr>
          <w:rFonts w:asciiTheme="minorHAnsi" w:hAnsiTheme="minorHAnsi" w:cstheme="minorHAnsi"/>
          <w:sz w:val="18"/>
          <w:szCs w:val="18"/>
        </w:rPr>
        <w:t xml:space="preserve"> 83.</w:t>
      </w:r>
    </w:p>
  </w:footnote>
  <w:footnote w:id="10">
    <w:p w14:paraId="22EADA0F" w14:textId="0B75554B" w:rsidR="006C0DCA" w:rsidRPr="001E2538" w:rsidRDefault="006C0DCA"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Brenda Hal</w:t>
      </w:r>
      <w:r w:rsidR="00E64A4D" w:rsidRPr="001E2538">
        <w:rPr>
          <w:rFonts w:asciiTheme="minorHAnsi" w:hAnsiTheme="minorHAnsi" w:cstheme="minorHAnsi"/>
          <w:sz w:val="18"/>
          <w:szCs w:val="18"/>
        </w:rPr>
        <w:t>e</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‘Equality in the Judiciary: A Tale of Two Continents’, 10</w:t>
      </w:r>
      <w:r w:rsidRPr="001E2538">
        <w:rPr>
          <w:rFonts w:asciiTheme="minorHAnsi" w:hAnsiTheme="minorHAnsi" w:cstheme="minorHAnsi"/>
          <w:sz w:val="18"/>
          <w:szCs w:val="18"/>
          <w:vertAlign w:val="superscript"/>
        </w:rPr>
        <w:t>th</w:t>
      </w:r>
      <w:r w:rsidRPr="001E2538">
        <w:rPr>
          <w:rFonts w:asciiTheme="minorHAnsi" w:hAnsiTheme="minorHAnsi" w:cstheme="minorHAnsi"/>
          <w:sz w:val="18"/>
          <w:szCs w:val="18"/>
        </w:rPr>
        <w:t xml:space="preserve"> Pilgrim Fathers’ Lecture, 2003</w:t>
      </w:r>
      <w:r w:rsidR="009A313D" w:rsidRPr="001E2538">
        <w:rPr>
          <w:rFonts w:asciiTheme="minorHAnsi" w:hAnsiTheme="minorHAnsi" w:cstheme="minorHAnsi"/>
          <w:sz w:val="18"/>
          <w:szCs w:val="18"/>
        </w:rPr>
        <w:t>.</w:t>
      </w:r>
    </w:p>
  </w:footnote>
  <w:footnote w:id="11">
    <w:p w14:paraId="21F0B200" w14:textId="690360A3" w:rsidR="00803985" w:rsidRPr="001E2538" w:rsidRDefault="00803985"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See further Rackley </w:t>
      </w:r>
      <w:r w:rsidR="008D3584" w:rsidRPr="001E2538">
        <w:rPr>
          <w:rFonts w:asciiTheme="minorHAnsi" w:hAnsiTheme="minorHAnsi" w:cstheme="minorHAnsi"/>
          <w:sz w:val="18"/>
          <w:szCs w:val="18"/>
        </w:rPr>
        <w:t xml:space="preserve">(2013) </w:t>
      </w:r>
      <w:r w:rsidRPr="001E2538">
        <w:rPr>
          <w:rFonts w:asciiTheme="minorHAnsi" w:hAnsiTheme="minorHAnsi" w:cstheme="minorHAnsi"/>
          <w:sz w:val="18"/>
          <w:szCs w:val="18"/>
        </w:rPr>
        <w:t xml:space="preserve">n </w:t>
      </w:r>
      <w:r w:rsidR="003738E5" w:rsidRPr="001E2538">
        <w:rPr>
          <w:rFonts w:asciiTheme="minorHAnsi" w:hAnsiTheme="minorHAnsi" w:cstheme="minorHAnsi"/>
          <w:sz w:val="18"/>
          <w:szCs w:val="18"/>
        </w:rPr>
        <w:t>5</w:t>
      </w:r>
      <w:r w:rsidRPr="001E2538">
        <w:rPr>
          <w:rFonts w:asciiTheme="minorHAnsi" w:hAnsiTheme="minorHAnsi" w:cstheme="minorHAnsi"/>
          <w:sz w:val="18"/>
          <w:szCs w:val="18"/>
        </w:rPr>
        <w:t xml:space="preserve">, </w:t>
      </w:r>
      <w:proofErr w:type="spellStart"/>
      <w:r w:rsidR="0091741D" w:rsidRPr="001E2538">
        <w:rPr>
          <w:rFonts w:asciiTheme="minorHAnsi" w:hAnsiTheme="minorHAnsi" w:cstheme="minorHAnsi"/>
          <w:sz w:val="18"/>
          <w:szCs w:val="18"/>
        </w:rPr>
        <w:t>ch</w:t>
      </w:r>
      <w:proofErr w:type="spellEnd"/>
      <w:r w:rsidR="0091741D" w:rsidRPr="001E2538">
        <w:rPr>
          <w:rFonts w:asciiTheme="minorHAnsi" w:hAnsiTheme="minorHAnsi" w:cstheme="minorHAnsi"/>
          <w:sz w:val="18"/>
          <w:szCs w:val="18"/>
        </w:rPr>
        <w:t xml:space="preserve"> 6</w:t>
      </w:r>
      <w:r w:rsidRPr="001E2538">
        <w:rPr>
          <w:rFonts w:asciiTheme="minorHAnsi" w:hAnsiTheme="minorHAnsi" w:cstheme="minorHAnsi"/>
          <w:sz w:val="18"/>
          <w:szCs w:val="18"/>
        </w:rPr>
        <w:t>.</w:t>
      </w:r>
    </w:p>
  </w:footnote>
  <w:footnote w:id="12">
    <w:p w14:paraId="653B28FC" w14:textId="080E3265" w:rsidR="006C0DCA" w:rsidRPr="001E2538" w:rsidRDefault="006C0DCA"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See </w:t>
      </w:r>
      <w:proofErr w:type="spellStart"/>
      <w:proofErr w:type="gramStart"/>
      <w:r w:rsidRPr="001E2538">
        <w:rPr>
          <w:rFonts w:asciiTheme="minorHAnsi" w:hAnsiTheme="minorHAnsi" w:cstheme="minorHAnsi"/>
          <w:sz w:val="18"/>
          <w:szCs w:val="18"/>
        </w:rPr>
        <w:t>eg</w:t>
      </w:r>
      <w:proofErr w:type="spellEnd"/>
      <w:proofErr w:type="gramEnd"/>
      <w:r w:rsidRPr="001E2538">
        <w:rPr>
          <w:rFonts w:asciiTheme="minorHAnsi" w:hAnsiTheme="minorHAnsi" w:cstheme="minorHAnsi"/>
          <w:sz w:val="18"/>
          <w:szCs w:val="18"/>
        </w:rPr>
        <w:t xml:space="preserve"> Rosemary </w:t>
      </w:r>
      <w:proofErr w:type="spellStart"/>
      <w:r w:rsidRPr="001E2538">
        <w:rPr>
          <w:rFonts w:asciiTheme="minorHAnsi" w:hAnsiTheme="minorHAnsi" w:cstheme="minorHAnsi"/>
          <w:sz w:val="18"/>
          <w:szCs w:val="18"/>
        </w:rPr>
        <w:t>Auchmuty</w:t>
      </w:r>
      <w:proofErr w:type="spellEnd"/>
      <w:r w:rsidRPr="001E2538">
        <w:rPr>
          <w:rFonts w:asciiTheme="minorHAnsi" w:hAnsiTheme="minorHAnsi" w:cstheme="minorHAnsi"/>
          <w:sz w:val="18"/>
          <w:szCs w:val="18"/>
        </w:rPr>
        <w:t xml:space="preserve"> and Erika Rackley</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‘Feminist legal biography: a model for all legal life stories’ (2020) 41(2) </w:t>
      </w:r>
      <w:r w:rsidRPr="001E2538">
        <w:rPr>
          <w:rFonts w:asciiTheme="minorHAnsi" w:hAnsiTheme="minorHAnsi" w:cstheme="minorHAnsi"/>
          <w:i/>
          <w:iCs/>
          <w:sz w:val="18"/>
          <w:szCs w:val="18"/>
        </w:rPr>
        <w:t>Journal of Legal History</w:t>
      </w:r>
      <w:r w:rsidRPr="001E2538">
        <w:rPr>
          <w:rFonts w:asciiTheme="minorHAnsi" w:hAnsiTheme="minorHAnsi" w:cstheme="minorHAnsi"/>
          <w:sz w:val="18"/>
          <w:szCs w:val="18"/>
        </w:rPr>
        <w:t xml:space="preserve"> 186, 205-210; Caroline Derry</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‘Ethel Bright Ashford: more and less than a role model’ (2020) 29(4) </w:t>
      </w:r>
      <w:r w:rsidRPr="001E2538">
        <w:rPr>
          <w:rFonts w:asciiTheme="minorHAnsi" w:hAnsiTheme="minorHAnsi" w:cstheme="minorHAnsi"/>
          <w:i/>
          <w:iCs/>
          <w:sz w:val="18"/>
          <w:szCs w:val="18"/>
        </w:rPr>
        <w:t>Women's History Review</w:t>
      </w:r>
      <w:r w:rsidRPr="001E2538">
        <w:rPr>
          <w:rFonts w:asciiTheme="minorHAnsi" w:hAnsiTheme="minorHAnsi" w:cstheme="minorHAnsi"/>
          <w:sz w:val="18"/>
          <w:szCs w:val="18"/>
        </w:rPr>
        <w:t xml:space="preserve"> 615–635.</w:t>
      </w:r>
    </w:p>
  </w:footnote>
  <w:footnote w:id="13">
    <w:p w14:paraId="58F76AF8" w14:textId="23B0008B" w:rsidR="007D00EF" w:rsidRPr="001E2538" w:rsidRDefault="007D00EF"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See </w:t>
      </w:r>
      <w:proofErr w:type="spellStart"/>
      <w:proofErr w:type="gramStart"/>
      <w:r w:rsidRPr="001E2538">
        <w:rPr>
          <w:rFonts w:asciiTheme="minorHAnsi" w:hAnsiTheme="minorHAnsi" w:cstheme="minorHAnsi"/>
          <w:sz w:val="18"/>
          <w:szCs w:val="18"/>
        </w:rPr>
        <w:t>eg</w:t>
      </w:r>
      <w:proofErr w:type="spellEnd"/>
      <w:proofErr w:type="gramEnd"/>
      <w:r w:rsidRPr="001E2538">
        <w:rPr>
          <w:rFonts w:asciiTheme="minorHAnsi" w:hAnsiTheme="minorHAnsi" w:cstheme="minorHAnsi"/>
          <w:sz w:val="18"/>
          <w:szCs w:val="18"/>
        </w:rPr>
        <w:t xml:space="preserve"> Laura Cox</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‘Brenda Hale: Supporting and Inspiring Women Judges’ in Hunter and Rackley n </w:t>
      </w:r>
      <w:r w:rsidR="003738E5" w:rsidRPr="001E2538">
        <w:rPr>
          <w:rFonts w:asciiTheme="minorHAnsi" w:hAnsiTheme="minorHAnsi" w:cstheme="minorHAnsi"/>
          <w:sz w:val="18"/>
          <w:szCs w:val="18"/>
        </w:rPr>
        <w:t>5,</w:t>
      </w:r>
      <w:r w:rsidRPr="001E2538">
        <w:rPr>
          <w:rFonts w:asciiTheme="minorHAnsi" w:hAnsiTheme="minorHAnsi" w:cstheme="minorHAnsi"/>
          <w:sz w:val="18"/>
          <w:szCs w:val="18"/>
        </w:rPr>
        <w:t xml:space="preserve"> 107.</w:t>
      </w:r>
    </w:p>
  </w:footnote>
  <w:footnote w:id="14">
    <w:p w14:paraId="7B134FF6" w14:textId="3F37D48D" w:rsidR="00CF0AAE" w:rsidRPr="00A17E2B" w:rsidRDefault="00CF0AAE">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291F89" w:rsidRPr="001E2538">
        <w:rPr>
          <w:rFonts w:asciiTheme="minorHAnsi" w:hAnsiTheme="minorHAnsi" w:cstheme="minorHAnsi"/>
          <w:sz w:val="18"/>
          <w:szCs w:val="18"/>
        </w:rPr>
        <w:tab/>
        <w:t xml:space="preserve">Rose </w:t>
      </w:r>
      <w:proofErr w:type="spellStart"/>
      <w:r w:rsidR="00291F89" w:rsidRPr="001E2538">
        <w:rPr>
          <w:rFonts w:asciiTheme="minorHAnsi" w:hAnsiTheme="minorHAnsi" w:cstheme="minorHAnsi"/>
          <w:sz w:val="18"/>
          <w:szCs w:val="18"/>
        </w:rPr>
        <w:t>Heilbron</w:t>
      </w:r>
      <w:proofErr w:type="spellEnd"/>
      <w:r w:rsidR="00291F89" w:rsidRPr="001E2538">
        <w:rPr>
          <w:rFonts w:asciiTheme="minorHAnsi" w:hAnsiTheme="minorHAnsi" w:cstheme="minorHAnsi"/>
          <w:sz w:val="18"/>
          <w:szCs w:val="18"/>
        </w:rPr>
        <w:t xml:space="preserve"> was the first woman to hold regular judicial office in England and Wales</w:t>
      </w:r>
      <w:r w:rsidR="001568A3">
        <w:rPr>
          <w:rFonts w:asciiTheme="minorHAnsi" w:hAnsiTheme="minorHAnsi" w:cstheme="minorHAnsi"/>
          <w:sz w:val="18"/>
          <w:szCs w:val="18"/>
        </w:rPr>
        <w:t xml:space="preserve">. She was appointed </w:t>
      </w:r>
      <w:r w:rsidR="00291F89" w:rsidRPr="001E2538">
        <w:rPr>
          <w:rFonts w:asciiTheme="minorHAnsi" w:hAnsiTheme="minorHAnsi" w:cstheme="minorHAnsi"/>
          <w:sz w:val="18"/>
          <w:szCs w:val="18"/>
        </w:rPr>
        <w:t>Recorder of Burnley in 1964</w:t>
      </w:r>
      <w:r w:rsidR="001568A3">
        <w:rPr>
          <w:rFonts w:asciiTheme="minorHAnsi" w:hAnsiTheme="minorHAnsi" w:cstheme="minorHAnsi"/>
          <w:sz w:val="18"/>
          <w:szCs w:val="18"/>
        </w:rPr>
        <w:t>,</w:t>
      </w:r>
      <w:r w:rsidR="00291F89" w:rsidRPr="001E2538">
        <w:rPr>
          <w:rFonts w:asciiTheme="minorHAnsi" w:hAnsiTheme="minorHAnsi" w:cstheme="minorHAnsi"/>
          <w:sz w:val="18"/>
          <w:szCs w:val="18"/>
        </w:rPr>
        <w:t xml:space="preserve"> having been one of the first two women barristers (with Helena Normanton) to be appointed King’s Counsel in England and Wales</w:t>
      </w:r>
      <w:r w:rsidR="00A17E2B">
        <w:rPr>
          <w:rFonts w:asciiTheme="minorHAnsi" w:hAnsiTheme="minorHAnsi" w:cstheme="minorHAnsi"/>
          <w:sz w:val="18"/>
          <w:szCs w:val="18"/>
        </w:rPr>
        <w:t xml:space="preserve"> (Hilary </w:t>
      </w:r>
      <w:proofErr w:type="spellStart"/>
      <w:r w:rsidR="00A17E2B">
        <w:rPr>
          <w:rFonts w:asciiTheme="minorHAnsi" w:hAnsiTheme="minorHAnsi" w:cstheme="minorHAnsi"/>
          <w:sz w:val="18"/>
          <w:szCs w:val="18"/>
        </w:rPr>
        <w:t>Heilbron</w:t>
      </w:r>
      <w:proofErr w:type="spellEnd"/>
      <w:r w:rsidR="00A17E2B">
        <w:rPr>
          <w:rFonts w:asciiTheme="minorHAnsi" w:hAnsiTheme="minorHAnsi" w:cstheme="minorHAnsi"/>
          <w:sz w:val="18"/>
          <w:szCs w:val="18"/>
        </w:rPr>
        <w:t xml:space="preserve">, </w:t>
      </w:r>
      <w:r w:rsidR="00A17E2B">
        <w:rPr>
          <w:rFonts w:asciiTheme="minorHAnsi" w:hAnsiTheme="minorHAnsi" w:cstheme="minorHAnsi"/>
          <w:i/>
          <w:iCs/>
          <w:sz w:val="18"/>
          <w:szCs w:val="18"/>
        </w:rPr>
        <w:t xml:space="preserve">Rose QC: The Remarkable Story of Rose </w:t>
      </w:r>
      <w:proofErr w:type="spellStart"/>
      <w:r w:rsidR="00A17E2B">
        <w:rPr>
          <w:rFonts w:asciiTheme="minorHAnsi" w:hAnsiTheme="minorHAnsi" w:cstheme="minorHAnsi"/>
          <w:i/>
          <w:iCs/>
          <w:sz w:val="18"/>
          <w:szCs w:val="18"/>
        </w:rPr>
        <w:t>Heilbron</w:t>
      </w:r>
      <w:proofErr w:type="spellEnd"/>
      <w:r w:rsidR="00A17E2B">
        <w:rPr>
          <w:rFonts w:asciiTheme="minorHAnsi" w:hAnsiTheme="minorHAnsi" w:cstheme="minorHAnsi"/>
          <w:i/>
          <w:iCs/>
          <w:sz w:val="18"/>
          <w:szCs w:val="18"/>
        </w:rPr>
        <w:t>: Trailblazer and Legal Icon</w:t>
      </w:r>
      <w:r w:rsidR="00A17E2B">
        <w:rPr>
          <w:rFonts w:asciiTheme="minorHAnsi" w:hAnsiTheme="minorHAnsi" w:cstheme="minorHAnsi"/>
          <w:sz w:val="18"/>
          <w:szCs w:val="18"/>
        </w:rPr>
        <w:t xml:space="preserve"> (Hart Publishing 2019). </w:t>
      </w:r>
    </w:p>
  </w:footnote>
  <w:footnote w:id="15">
    <w:p w14:paraId="12B1F4D8" w14:textId="74C8A26B" w:rsidR="00CF0AAE" w:rsidRPr="00110BD9" w:rsidRDefault="00CF0AAE">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291F89" w:rsidRPr="001E2538">
        <w:rPr>
          <w:rFonts w:asciiTheme="minorHAnsi" w:hAnsiTheme="minorHAnsi" w:cstheme="minorHAnsi"/>
          <w:sz w:val="18"/>
          <w:szCs w:val="18"/>
        </w:rPr>
        <w:tab/>
        <w:t>In 1967 Nina Lowry becam</w:t>
      </w:r>
      <w:r w:rsidR="00291F89" w:rsidRPr="00A17E2B">
        <w:rPr>
          <w:rFonts w:asciiTheme="minorHAnsi" w:hAnsiTheme="minorHAnsi" w:cstheme="minorHAnsi"/>
          <w:sz w:val="18"/>
          <w:szCs w:val="18"/>
        </w:rPr>
        <w:t>e the first woman to sit as a permanent judge at the Old Bailey</w:t>
      </w:r>
      <w:r w:rsidR="00110BD9" w:rsidRPr="00A17E2B">
        <w:rPr>
          <w:rFonts w:asciiTheme="minorHAnsi" w:hAnsiTheme="minorHAnsi" w:cstheme="minorHAnsi"/>
          <w:sz w:val="18"/>
          <w:szCs w:val="18"/>
        </w:rPr>
        <w:t xml:space="preserve"> (James Morton, ‘Nina Lowry obituary’ </w:t>
      </w:r>
      <w:r w:rsidR="00110BD9" w:rsidRPr="00A17E2B">
        <w:rPr>
          <w:rFonts w:asciiTheme="minorHAnsi" w:hAnsiTheme="minorHAnsi" w:cstheme="minorHAnsi"/>
          <w:i/>
          <w:iCs/>
          <w:sz w:val="18"/>
          <w:szCs w:val="18"/>
        </w:rPr>
        <w:t>The Guardian</w:t>
      </w:r>
      <w:r w:rsidR="00110BD9" w:rsidRPr="00A17E2B">
        <w:rPr>
          <w:rFonts w:asciiTheme="minorHAnsi" w:hAnsiTheme="minorHAnsi" w:cstheme="minorHAnsi"/>
          <w:sz w:val="18"/>
          <w:szCs w:val="18"/>
        </w:rPr>
        <w:t xml:space="preserve"> </w:t>
      </w:r>
      <w:r w:rsidR="00A17E2B" w:rsidRPr="00A17E2B">
        <w:rPr>
          <w:rFonts w:asciiTheme="minorHAnsi" w:hAnsiTheme="minorHAnsi" w:cstheme="minorHAnsi"/>
          <w:sz w:val="18"/>
          <w:szCs w:val="18"/>
        </w:rPr>
        <w:t>23 April 2017</w:t>
      </w:r>
      <w:r w:rsidR="00A17E2B">
        <w:rPr>
          <w:rFonts w:asciiTheme="minorHAnsi" w:hAnsiTheme="minorHAnsi" w:cstheme="minorHAnsi"/>
          <w:sz w:val="18"/>
          <w:szCs w:val="18"/>
        </w:rPr>
        <w:t>)</w:t>
      </w:r>
      <w:r w:rsidR="00A17E2B" w:rsidRPr="00A17E2B">
        <w:rPr>
          <w:rFonts w:asciiTheme="minorHAnsi" w:hAnsiTheme="minorHAnsi" w:cstheme="minorHAnsi"/>
          <w:sz w:val="18"/>
          <w:szCs w:val="18"/>
        </w:rPr>
        <w:t xml:space="preserve">. </w:t>
      </w:r>
    </w:p>
  </w:footnote>
  <w:footnote w:id="16">
    <w:p w14:paraId="32599BCC" w14:textId="3211A2A6" w:rsidR="00803985" w:rsidRPr="001E2538" w:rsidRDefault="00803985"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627FF3" w:rsidRPr="001E2538">
        <w:rPr>
          <w:rFonts w:asciiTheme="minorHAnsi" w:hAnsiTheme="minorHAnsi" w:cstheme="minorHAnsi"/>
          <w:sz w:val="18"/>
          <w:szCs w:val="18"/>
        </w:rPr>
        <w:tab/>
      </w:r>
      <w:r w:rsidRPr="001E2538">
        <w:rPr>
          <w:rFonts w:asciiTheme="minorHAnsi" w:hAnsiTheme="minorHAnsi" w:cstheme="minorHAnsi"/>
          <w:sz w:val="18"/>
          <w:szCs w:val="18"/>
        </w:rPr>
        <w:t xml:space="preserve">Rosemary </w:t>
      </w:r>
      <w:proofErr w:type="spellStart"/>
      <w:r w:rsidRPr="001E2538">
        <w:rPr>
          <w:rFonts w:asciiTheme="minorHAnsi" w:hAnsiTheme="minorHAnsi" w:cstheme="minorHAnsi"/>
          <w:sz w:val="18"/>
          <w:szCs w:val="18"/>
        </w:rPr>
        <w:t>Auchmuty</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‘Whatever happened to Miss </w:t>
      </w:r>
      <w:proofErr w:type="spellStart"/>
      <w:r w:rsidRPr="001E2538">
        <w:rPr>
          <w:rFonts w:asciiTheme="minorHAnsi" w:hAnsiTheme="minorHAnsi" w:cstheme="minorHAnsi"/>
          <w:sz w:val="18"/>
          <w:szCs w:val="18"/>
        </w:rPr>
        <w:t>Bebb</w:t>
      </w:r>
      <w:proofErr w:type="spellEnd"/>
      <w:r w:rsidRPr="001E2538">
        <w:rPr>
          <w:rFonts w:asciiTheme="minorHAnsi" w:hAnsiTheme="minorHAnsi" w:cstheme="minorHAnsi"/>
          <w:sz w:val="18"/>
          <w:szCs w:val="18"/>
        </w:rPr>
        <w:t xml:space="preserve">? </w:t>
      </w:r>
      <w:proofErr w:type="spellStart"/>
      <w:r w:rsidRPr="001E2538">
        <w:rPr>
          <w:rFonts w:asciiTheme="minorHAnsi" w:hAnsiTheme="minorHAnsi" w:cstheme="minorHAnsi"/>
          <w:i/>
          <w:iCs/>
          <w:sz w:val="18"/>
          <w:szCs w:val="18"/>
        </w:rPr>
        <w:t>Bebb</w:t>
      </w:r>
      <w:proofErr w:type="spellEnd"/>
      <w:r w:rsidRPr="001E2538">
        <w:rPr>
          <w:rFonts w:asciiTheme="minorHAnsi" w:hAnsiTheme="minorHAnsi" w:cstheme="minorHAnsi"/>
          <w:i/>
          <w:iCs/>
          <w:sz w:val="18"/>
          <w:szCs w:val="18"/>
        </w:rPr>
        <w:t xml:space="preserve"> v Law Society</w:t>
      </w:r>
      <w:r w:rsidRPr="001E2538">
        <w:rPr>
          <w:rFonts w:asciiTheme="minorHAnsi" w:hAnsiTheme="minorHAnsi" w:cstheme="minorHAnsi"/>
          <w:sz w:val="18"/>
          <w:szCs w:val="18"/>
        </w:rPr>
        <w:t xml:space="preserve"> and women’s legal history’ (2012) 31 </w:t>
      </w:r>
      <w:r w:rsidRPr="001E2538">
        <w:rPr>
          <w:rFonts w:asciiTheme="minorHAnsi" w:hAnsiTheme="minorHAnsi" w:cstheme="minorHAnsi"/>
          <w:i/>
          <w:iCs/>
          <w:sz w:val="18"/>
          <w:szCs w:val="18"/>
        </w:rPr>
        <w:t>Legal Studies</w:t>
      </w:r>
      <w:r w:rsidRPr="001E2538">
        <w:rPr>
          <w:rFonts w:asciiTheme="minorHAnsi" w:hAnsiTheme="minorHAnsi" w:cstheme="minorHAnsi"/>
          <w:sz w:val="18"/>
          <w:szCs w:val="18"/>
        </w:rPr>
        <w:t xml:space="preserve"> 199.  </w:t>
      </w:r>
    </w:p>
  </w:footnote>
  <w:footnote w:id="17">
    <w:p w14:paraId="05886765" w14:textId="1C0B46C8" w:rsidR="007D00EF" w:rsidRPr="001E2538" w:rsidRDefault="007D00EF"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Erika Rackley and Rosemary </w:t>
      </w:r>
      <w:proofErr w:type="spellStart"/>
      <w:r w:rsidRPr="001E2538">
        <w:rPr>
          <w:rFonts w:asciiTheme="minorHAnsi" w:hAnsiTheme="minorHAnsi" w:cstheme="minorHAnsi"/>
          <w:sz w:val="18"/>
          <w:szCs w:val="18"/>
        </w:rPr>
        <w:t>Auchmuty</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‘Introduction’ in</w:t>
      </w:r>
      <w:r w:rsidR="00E1541A" w:rsidRPr="001E2538">
        <w:rPr>
          <w:rFonts w:asciiTheme="minorHAnsi" w:hAnsiTheme="minorHAnsi" w:cstheme="minorHAnsi"/>
          <w:sz w:val="18"/>
          <w:szCs w:val="18"/>
        </w:rPr>
        <w:t xml:space="preserve"> Erika Rackley and Rosemary </w:t>
      </w:r>
      <w:proofErr w:type="spellStart"/>
      <w:r w:rsidR="00E1541A" w:rsidRPr="001E2538">
        <w:rPr>
          <w:rFonts w:asciiTheme="minorHAnsi" w:hAnsiTheme="minorHAnsi" w:cstheme="minorHAnsi"/>
          <w:sz w:val="18"/>
          <w:szCs w:val="18"/>
        </w:rPr>
        <w:t>Auchmuty</w:t>
      </w:r>
      <w:proofErr w:type="spellEnd"/>
      <w:r w:rsidRPr="001E2538">
        <w:rPr>
          <w:rFonts w:asciiTheme="minorHAnsi" w:hAnsiTheme="minorHAnsi" w:cstheme="minorHAnsi"/>
          <w:sz w:val="18"/>
          <w:szCs w:val="18"/>
        </w:rPr>
        <w:t xml:space="preserve"> (eds)</w:t>
      </w:r>
      <w:r w:rsidR="00DF4C18"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Women’s Legal Landmarks: Celebrating the History of Women and Law in the UK and Ireland</w:t>
      </w:r>
      <w:r w:rsidRPr="001E2538">
        <w:rPr>
          <w:rFonts w:asciiTheme="minorHAnsi" w:hAnsiTheme="minorHAnsi" w:cstheme="minorHAnsi"/>
          <w:sz w:val="18"/>
          <w:szCs w:val="18"/>
        </w:rPr>
        <w:t xml:space="preserve"> (Hart 2019) 1-22 and chapters therein</w:t>
      </w:r>
      <w:r w:rsidR="00E1541A" w:rsidRPr="001E2538">
        <w:rPr>
          <w:rFonts w:asciiTheme="minorHAnsi" w:hAnsiTheme="minorHAnsi" w:cstheme="minorHAnsi"/>
          <w:sz w:val="18"/>
          <w:szCs w:val="18"/>
        </w:rPr>
        <w:t>.</w:t>
      </w:r>
    </w:p>
  </w:footnote>
  <w:footnote w:id="18">
    <w:p w14:paraId="6B377C5A" w14:textId="5719F3A6" w:rsidR="006C0DCA" w:rsidRPr="001E2538" w:rsidRDefault="006C0DCA"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627FF3" w:rsidRPr="001E2538">
        <w:rPr>
          <w:rFonts w:asciiTheme="minorHAnsi" w:hAnsiTheme="minorHAnsi" w:cstheme="minorHAnsi"/>
          <w:sz w:val="18"/>
          <w:szCs w:val="18"/>
        </w:rPr>
        <w:tab/>
      </w:r>
      <w:r w:rsidRPr="001E2538">
        <w:rPr>
          <w:rFonts w:asciiTheme="minorHAnsi" w:hAnsiTheme="minorHAnsi" w:cstheme="minorHAnsi"/>
          <w:sz w:val="18"/>
          <w:szCs w:val="18"/>
        </w:rPr>
        <w:t xml:space="preserve">Erika Rackley and Rosemary </w:t>
      </w:r>
      <w:proofErr w:type="spellStart"/>
      <w:r w:rsidRPr="001E2538">
        <w:rPr>
          <w:rFonts w:asciiTheme="minorHAnsi" w:hAnsiTheme="minorHAnsi" w:cstheme="minorHAnsi"/>
          <w:sz w:val="18"/>
          <w:szCs w:val="18"/>
        </w:rPr>
        <w:t>Auchmuty</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‘The Case for Feminist Legal History’ (2020) </w:t>
      </w:r>
      <w:r w:rsidRPr="001E2538">
        <w:rPr>
          <w:rFonts w:asciiTheme="minorHAnsi" w:hAnsiTheme="minorHAnsi" w:cstheme="minorHAnsi"/>
          <w:i/>
          <w:iCs/>
          <w:sz w:val="18"/>
          <w:szCs w:val="18"/>
        </w:rPr>
        <w:t>Oxford Journal of Legal Studies</w:t>
      </w:r>
      <w:r w:rsidRPr="001E2538">
        <w:rPr>
          <w:rFonts w:asciiTheme="minorHAnsi" w:hAnsiTheme="minorHAnsi" w:cstheme="minorHAnsi"/>
          <w:sz w:val="18"/>
          <w:szCs w:val="18"/>
        </w:rPr>
        <w:t xml:space="preserve"> 878.</w:t>
      </w:r>
    </w:p>
  </w:footnote>
  <w:footnote w:id="19">
    <w:p w14:paraId="6E10F8B4" w14:textId="19A4FF59" w:rsidR="003118C0" w:rsidRPr="001E2538" w:rsidRDefault="003118C0"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CE253A" w:rsidRPr="001E2538">
        <w:rPr>
          <w:rFonts w:asciiTheme="minorHAnsi" w:hAnsiTheme="minorHAnsi" w:cstheme="minorHAnsi"/>
          <w:sz w:val="18"/>
          <w:szCs w:val="18"/>
        </w:rPr>
        <w:tab/>
      </w:r>
      <w:r w:rsidRPr="001E2538">
        <w:rPr>
          <w:rFonts w:asciiTheme="minorHAnsi" w:hAnsiTheme="minorHAnsi" w:cstheme="minorHAnsi"/>
          <w:sz w:val="18"/>
          <w:szCs w:val="18"/>
        </w:rPr>
        <w:t>Joan Wallach Scott</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The</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Fantasy of Feminist History</w:t>
      </w:r>
      <w:r w:rsidRPr="001E2538">
        <w:rPr>
          <w:rFonts w:asciiTheme="minorHAnsi" w:hAnsiTheme="minorHAnsi" w:cstheme="minorHAnsi"/>
          <w:sz w:val="18"/>
          <w:szCs w:val="18"/>
        </w:rPr>
        <w:t xml:space="preserve"> (Duke University Press 2011) 34.</w:t>
      </w:r>
    </w:p>
  </w:footnote>
  <w:footnote w:id="20">
    <w:p w14:paraId="54662BF5" w14:textId="625756C0" w:rsidR="004522A1" w:rsidRPr="001E2538" w:rsidRDefault="004522A1"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In so doing, I would build on the argument of Kate </w:t>
      </w:r>
      <w:proofErr w:type="spellStart"/>
      <w:r w:rsidRPr="001E2538">
        <w:rPr>
          <w:rFonts w:asciiTheme="minorHAnsi" w:hAnsiTheme="minorHAnsi" w:cstheme="minorHAnsi"/>
          <w:sz w:val="18"/>
          <w:szCs w:val="18"/>
        </w:rPr>
        <w:t>Malleson</w:t>
      </w:r>
      <w:proofErr w:type="spellEnd"/>
      <w:r w:rsidRPr="001E2538">
        <w:rPr>
          <w:rFonts w:asciiTheme="minorHAnsi" w:hAnsiTheme="minorHAnsi" w:cstheme="minorHAnsi"/>
          <w:sz w:val="18"/>
          <w:szCs w:val="18"/>
        </w:rPr>
        <w:t xml:space="preserve"> who has argued that, on the basis that judicial abilities are spread evenly across all identify characteristics, in preventing the over-representation of any given group, quotas ensure the quality of those appointed (Kate </w:t>
      </w:r>
      <w:proofErr w:type="spellStart"/>
      <w:r w:rsidRPr="001E2538">
        <w:rPr>
          <w:rFonts w:asciiTheme="minorHAnsi" w:hAnsiTheme="minorHAnsi" w:cstheme="minorHAnsi"/>
          <w:sz w:val="18"/>
          <w:szCs w:val="18"/>
        </w:rPr>
        <w:t>Malleson</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‘The Disruptive Potential of Ceiling Quotas’ in </w:t>
      </w:r>
      <w:r w:rsidR="003738E5" w:rsidRPr="001E2538">
        <w:rPr>
          <w:rFonts w:asciiTheme="minorHAnsi" w:hAnsiTheme="minorHAnsi" w:cstheme="minorHAnsi"/>
          <w:sz w:val="18"/>
          <w:szCs w:val="18"/>
        </w:rPr>
        <w:t>Graham Gee and Erika Rackley (eds)</w:t>
      </w:r>
      <w:r w:rsidR="00DF4C18" w:rsidRPr="001E2538">
        <w:rPr>
          <w:rFonts w:asciiTheme="minorHAnsi" w:hAnsiTheme="minorHAnsi" w:cstheme="minorHAnsi"/>
          <w:sz w:val="18"/>
          <w:szCs w:val="18"/>
        </w:rPr>
        <w:t>,</w:t>
      </w:r>
      <w:r w:rsidR="003738E5" w:rsidRPr="001E2538">
        <w:rPr>
          <w:rFonts w:asciiTheme="minorHAnsi" w:hAnsiTheme="minorHAnsi" w:cstheme="minorHAnsi"/>
          <w:i/>
          <w:iCs/>
          <w:sz w:val="18"/>
          <w:szCs w:val="18"/>
        </w:rPr>
        <w:t xml:space="preserve"> Debating Judicial Appointments in an Age of Diversity</w:t>
      </w:r>
      <w:r w:rsidR="003738E5" w:rsidRPr="001E2538">
        <w:rPr>
          <w:rFonts w:asciiTheme="minorHAnsi" w:hAnsiTheme="minorHAnsi" w:cstheme="minorHAnsi"/>
          <w:sz w:val="18"/>
          <w:szCs w:val="18"/>
        </w:rPr>
        <w:t xml:space="preserve"> (Routledge 2018) 259-282, </w:t>
      </w:r>
      <w:r w:rsidRPr="001E2538">
        <w:rPr>
          <w:rFonts w:asciiTheme="minorHAnsi" w:hAnsiTheme="minorHAnsi" w:cstheme="minorHAnsi"/>
          <w:sz w:val="18"/>
          <w:szCs w:val="18"/>
        </w:rPr>
        <w:t>272).</w:t>
      </w:r>
    </w:p>
  </w:footnote>
  <w:footnote w:id="21">
    <w:p w14:paraId="7EF8D9C6" w14:textId="23EAD6FD" w:rsidR="00080531" w:rsidRPr="001E2538" w:rsidRDefault="00080531">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4841B4" w:rsidRPr="001E2538">
        <w:rPr>
          <w:rFonts w:asciiTheme="minorHAnsi" w:hAnsiTheme="minorHAnsi" w:cstheme="minorHAnsi"/>
          <w:sz w:val="18"/>
          <w:szCs w:val="18"/>
        </w:rPr>
        <w:t xml:space="preserve"> See </w:t>
      </w:r>
      <w:proofErr w:type="spellStart"/>
      <w:proofErr w:type="gramStart"/>
      <w:r w:rsidR="004841B4" w:rsidRPr="001E2538">
        <w:rPr>
          <w:rFonts w:asciiTheme="minorHAnsi" w:hAnsiTheme="minorHAnsi" w:cstheme="minorHAnsi"/>
          <w:sz w:val="18"/>
          <w:szCs w:val="18"/>
        </w:rPr>
        <w:t>eg</w:t>
      </w:r>
      <w:proofErr w:type="spellEnd"/>
      <w:proofErr w:type="gramEnd"/>
      <w:r w:rsidR="004841B4" w:rsidRPr="001E2538">
        <w:rPr>
          <w:rFonts w:asciiTheme="minorHAnsi" w:hAnsiTheme="minorHAnsi" w:cstheme="minorHAnsi"/>
          <w:sz w:val="18"/>
          <w:szCs w:val="18"/>
        </w:rPr>
        <w:t xml:space="preserve"> Lord Taylor’s prediction in 1992 that a ‘substantial number’ of women and </w:t>
      </w:r>
      <w:proofErr w:type="spellStart"/>
      <w:r w:rsidR="004841B4" w:rsidRPr="001E2538">
        <w:rPr>
          <w:rFonts w:asciiTheme="minorHAnsi" w:hAnsiTheme="minorHAnsi" w:cstheme="minorHAnsi"/>
          <w:sz w:val="18"/>
          <w:szCs w:val="18"/>
        </w:rPr>
        <w:t>minorised</w:t>
      </w:r>
      <w:proofErr w:type="spellEnd"/>
      <w:r w:rsidR="004841B4" w:rsidRPr="001E2538">
        <w:rPr>
          <w:rFonts w:asciiTheme="minorHAnsi" w:hAnsiTheme="minorHAnsi" w:cstheme="minorHAnsi"/>
          <w:sz w:val="18"/>
          <w:szCs w:val="18"/>
        </w:rPr>
        <w:t xml:space="preserve"> ethic judges would be appointed within the next five years (Lord Taylor</w:t>
      </w:r>
      <w:r w:rsidR="004F7A5E" w:rsidRPr="001E2538">
        <w:rPr>
          <w:rFonts w:asciiTheme="minorHAnsi" w:hAnsiTheme="minorHAnsi" w:cstheme="minorHAnsi"/>
          <w:sz w:val="18"/>
          <w:szCs w:val="18"/>
        </w:rPr>
        <w:t>,</w:t>
      </w:r>
      <w:r w:rsidR="004841B4" w:rsidRPr="001E2538">
        <w:rPr>
          <w:rFonts w:asciiTheme="minorHAnsi" w:hAnsiTheme="minorHAnsi" w:cstheme="minorHAnsi"/>
          <w:sz w:val="18"/>
          <w:szCs w:val="18"/>
        </w:rPr>
        <w:t xml:space="preserve"> </w:t>
      </w:r>
      <w:r w:rsidR="004841B4" w:rsidRPr="001E2538">
        <w:rPr>
          <w:rFonts w:asciiTheme="minorHAnsi" w:hAnsiTheme="minorHAnsi" w:cstheme="minorHAnsi"/>
          <w:i/>
          <w:sz w:val="18"/>
          <w:szCs w:val="18"/>
        </w:rPr>
        <w:t>The Judiciary in the Nineties</w:t>
      </w:r>
      <w:r w:rsidR="003738E5" w:rsidRPr="001E2538">
        <w:rPr>
          <w:rFonts w:asciiTheme="minorHAnsi" w:hAnsiTheme="minorHAnsi" w:cstheme="minorHAnsi"/>
          <w:sz w:val="18"/>
          <w:szCs w:val="18"/>
        </w:rPr>
        <w:t xml:space="preserve"> </w:t>
      </w:r>
      <w:r w:rsidR="004841B4" w:rsidRPr="001E2538">
        <w:rPr>
          <w:rFonts w:asciiTheme="minorHAnsi" w:hAnsiTheme="minorHAnsi" w:cstheme="minorHAnsi"/>
          <w:sz w:val="18"/>
          <w:szCs w:val="18"/>
        </w:rPr>
        <w:t xml:space="preserve">The Richard </w:t>
      </w:r>
      <w:proofErr w:type="spellStart"/>
      <w:r w:rsidR="004841B4" w:rsidRPr="001E2538">
        <w:rPr>
          <w:rFonts w:asciiTheme="minorHAnsi" w:hAnsiTheme="minorHAnsi" w:cstheme="minorHAnsi"/>
          <w:sz w:val="18"/>
          <w:szCs w:val="18"/>
        </w:rPr>
        <w:t>Dimbleby</w:t>
      </w:r>
      <w:proofErr w:type="spellEnd"/>
      <w:r w:rsidR="004841B4" w:rsidRPr="001E2538">
        <w:rPr>
          <w:rFonts w:asciiTheme="minorHAnsi" w:hAnsiTheme="minorHAnsi" w:cstheme="minorHAnsi"/>
          <w:sz w:val="18"/>
          <w:szCs w:val="18"/>
        </w:rPr>
        <w:t xml:space="preserve"> Lecture, 1992). In fact, the ‘bidding process’ around women’s progression in the judiciary </w:t>
      </w:r>
      <w:r w:rsidR="003738E5" w:rsidRPr="001E2538">
        <w:rPr>
          <w:rFonts w:asciiTheme="minorHAnsi" w:hAnsiTheme="minorHAnsi" w:cstheme="minorHAnsi"/>
          <w:sz w:val="18"/>
          <w:szCs w:val="18"/>
        </w:rPr>
        <w:t xml:space="preserve">had </w:t>
      </w:r>
      <w:r w:rsidR="004841B4" w:rsidRPr="001E2538">
        <w:rPr>
          <w:rFonts w:asciiTheme="minorHAnsi" w:hAnsiTheme="minorHAnsi" w:cstheme="minorHAnsi"/>
          <w:sz w:val="18"/>
          <w:szCs w:val="18"/>
        </w:rPr>
        <w:t>beg</w:t>
      </w:r>
      <w:r w:rsidR="003738E5" w:rsidRPr="001E2538">
        <w:rPr>
          <w:rFonts w:asciiTheme="minorHAnsi" w:hAnsiTheme="minorHAnsi" w:cstheme="minorHAnsi"/>
          <w:sz w:val="18"/>
          <w:szCs w:val="18"/>
        </w:rPr>
        <w:t>un much earlier</w:t>
      </w:r>
      <w:r w:rsidR="004841B4" w:rsidRPr="001E2538">
        <w:rPr>
          <w:rFonts w:asciiTheme="minorHAnsi" w:hAnsiTheme="minorHAnsi" w:cstheme="minorHAnsi"/>
          <w:sz w:val="18"/>
          <w:szCs w:val="18"/>
        </w:rPr>
        <w:t xml:space="preserve"> when</w:t>
      </w:r>
      <w:r w:rsidR="003738E5" w:rsidRPr="001E2538">
        <w:rPr>
          <w:rFonts w:asciiTheme="minorHAnsi" w:hAnsiTheme="minorHAnsi" w:cstheme="minorHAnsi"/>
          <w:sz w:val="18"/>
          <w:szCs w:val="18"/>
        </w:rPr>
        <w:t>, in July 1930,</w:t>
      </w:r>
      <w:r w:rsidR="004841B4" w:rsidRPr="001E2538">
        <w:rPr>
          <w:rFonts w:asciiTheme="minorHAnsi" w:hAnsiTheme="minorHAnsi" w:cstheme="minorHAnsi"/>
          <w:sz w:val="18"/>
          <w:szCs w:val="18"/>
        </w:rPr>
        <w:t xml:space="preserve"> Lord Dickinson, a Labour Peer and women’s suffrage supporter, optimistically asserted that women would join the bench ‘before long’ (</w:t>
      </w:r>
      <w:r w:rsidR="00A17E2B">
        <w:rPr>
          <w:rFonts w:asciiTheme="minorHAnsi" w:hAnsiTheme="minorHAnsi" w:cstheme="minorHAnsi"/>
          <w:sz w:val="18"/>
          <w:szCs w:val="18"/>
        </w:rPr>
        <w:t xml:space="preserve">Hansard, </w:t>
      </w:r>
      <w:r w:rsidR="004841B4" w:rsidRPr="001E2538">
        <w:rPr>
          <w:rFonts w:asciiTheme="minorHAnsi" w:hAnsiTheme="minorHAnsi" w:cstheme="minorHAnsi"/>
          <w:sz w:val="18"/>
          <w:szCs w:val="18"/>
        </w:rPr>
        <w:t xml:space="preserve">‘Membership </w:t>
      </w:r>
      <w:proofErr w:type="gramStart"/>
      <w:r w:rsidR="004841B4" w:rsidRPr="001E2538">
        <w:rPr>
          <w:rFonts w:asciiTheme="minorHAnsi" w:hAnsiTheme="minorHAnsi" w:cstheme="minorHAnsi"/>
          <w:sz w:val="18"/>
          <w:szCs w:val="18"/>
        </w:rPr>
        <w:t>Of</w:t>
      </w:r>
      <w:proofErr w:type="gramEnd"/>
      <w:r w:rsidR="004841B4" w:rsidRPr="001E2538">
        <w:rPr>
          <w:rFonts w:asciiTheme="minorHAnsi" w:hAnsiTheme="minorHAnsi" w:cstheme="minorHAnsi"/>
          <w:sz w:val="18"/>
          <w:szCs w:val="18"/>
        </w:rPr>
        <w:t xml:space="preserve"> The House: Position Of Women’ HL Deb, vol 78 col 515</w:t>
      </w:r>
      <w:r w:rsidR="00A17E2B">
        <w:rPr>
          <w:rFonts w:asciiTheme="minorHAnsi" w:hAnsiTheme="minorHAnsi" w:cstheme="minorHAnsi"/>
          <w:sz w:val="18"/>
          <w:szCs w:val="18"/>
        </w:rPr>
        <w:t xml:space="preserve"> (</w:t>
      </w:r>
      <w:r w:rsidR="00A17E2B" w:rsidRPr="001E2538">
        <w:rPr>
          <w:rFonts w:asciiTheme="minorHAnsi" w:hAnsiTheme="minorHAnsi" w:cstheme="minorHAnsi"/>
          <w:sz w:val="18"/>
          <w:szCs w:val="18"/>
        </w:rPr>
        <w:t>16 July 1930</w:t>
      </w:r>
      <w:r w:rsidR="00A17E2B">
        <w:rPr>
          <w:rFonts w:asciiTheme="minorHAnsi" w:hAnsiTheme="minorHAnsi" w:cstheme="minorHAnsi"/>
          <w:sz w:val="18"/>
          <w:szCs w:val="18"/>
        </w:rPr>
        <w:t>)</w:t>
      </w:r>
      <w:r w:rsidR="004841B4" w:rsidRPr="001E2538">
        <w:rPr>
          <w:rFonts w:asciiTheme="minorHAnsi" w:hAnsiTheme="minorHAnsi" w:cstheme="minorHAnsi"/>
          <w:sz w:val="18"/>
          <w:szCs w:val="18"/>
        </w:rPr>
        <w:t xml:space="preserve">). </w:t>
      </w:r>
      <w:r w:rsidR="003738E5" w:rsidRPr="001E2538">
        <w:rPr>
          <w:rFonts w:asciiTheme="minorHAnsi" w:hAnsiTheme="minorHAnsi" w:cstheme="minorHAnsi"/>
          <w:sz w:val="18"/>
          <w:szCs w:val="18"/>
        </w:rPr>
        <w:t xml:space="preserve">It would be another 15 years until Sybil Campbell’s ground-breaking appointment as a Stipendiary Magistrate at Bow Court (Patrick </w:t>
      </w:r>
      <w:proofErr w:type="spellStart"/>
      <w:r w:rsidR="003738E5" w:rsidRPr="001E2538">
        <w:rPr>
          <w:rFonts w:asciiTheme="minorHAnsi" w:hAnsiTheme="minorHAnsi" w:cstheme="minorHAnsi"/>
          <w:sz w:val="18"/>
          <w:szCs w:val="18"/>
        </w:rPr>
        <w:t>Polden</w:t>
      </w:r>
      <w:proofErr w:type="spellEnd"/>
      <w:r w:rsidR="003738E5" w:rsidRPr="001E2538">
        <w:rPr>
          <w:rFonts w:asciiTheme="minorHAnsi" w:hAnsiTheme="minorHAnsi" w:cstheme="minorHAnsi"/>
          <w:sz w:val="18"/>
          <w:szCs w:val="18"/>
        </w:rPr>
        <w:t xml:space="preserve">, ‘The Lady of Tower Bridge: Sybil Campbell, England’s first woman judge’ (1999) 8(3) </w:t>
      </w:r>
      <w:r w:rsidR="003738E5" w:rsidRPr="001E2538">
        <w:rPr>
          <w:rFonts w:asciiTheme="minorHAnsi" w:hAnsiTheme="minorHAnsi" w:cstheme="minorHAnsi"/>
          <w:i/>
          <w:iCs/>
          <w:sz w:val="18"/>
          <w:szCs w:val="18"/>
        </w:rPr>
        <w:t>Women’s History Review</w:t>
      </w:r>
      <w:r w:rsidR="003738E5" w:rsidRPr="001E2538">
        <w:rPr>
          <w:rFonts w:asciiTheme="minorHAnsi" w:hAnsiTheme="minorHAnsi" w:cstheme="minorHAnsi"/>
          <w:sz w:val="18"/>
          <w:szCs w:val="18"/>
        </w:rPr>
        <w:t xml:space="preserve"> 505–526). </w:t>
      </w:r>
      <w:r w:rsidR="004841B4" w:rsidRPr="001E2538">
        <w:rPr>
          <w:rFonts w:asciiTheme="minorHAnsi" w:hAnsiTheme="minorHAnsi" w:cstheme="minorHAnsi"/>
          <w:sz w:val="18"/>
          <w:szCs w:val="18"/>
        </w:rPr>
        <w:t>Campbell remained the only full-time</w:t>
      </w:r>
      <w:r w:rsidR="003738E5" w:rsidRPr="001E2538">
        <w:rPr>
          <w:rFonts w:asciiTheme="minorHAnsi" w:hAnsiTheme="minorHAnsi" w:cstheme="minorHAnsi"/>
          <w:sz w:val="18"/>
          <w:szCs w:val="18"/>
        </w:rPr>
        <w:t xml:space="preserve"> woman </w:t>
      </w:r>
      <w:r w:rsidR="004841B4" w:rsidRPr="001E2538">
        <w:rPr>
          <w:rFonts w:asciiTheme="minorHAnsi" w:hAnsiTheme="minorHAnsi" w:cstheme="minorHAnsi"/>
          <w:sz w:val="18"/>
          <w:szCs w:val="18"/>
        </w:rPr>
        <w:t xml:space="preserve">judge in England &amp; Wales until Rose </w:t>
      </w:r>
      <w:proofErr w:type="spellStart"/>
      <w:r w:rsidR="004841B4" w:rsidRPr="001E2538">
        <w:rPr>
          <w:rFonts w:asciiTheme="minorHAnsi" w:hAnsiTheme="minorHAnsi" w:cstheme="minorHAnsi"/>
          <w:sz w:val="18"/>
          <w:szCs w:val="18"/>
        </w:rPr>
        <w:t>Helibron’s</w:t>
      </w:r>
      <w:proofErr w:type="spellEnd"/>
      <w:r w:rsidR="004841B4" w:rsidRPr="001E2538">
        <w:rPr>
          <w:rFonts w:asciiTheme="minorHAnsi" w:hAnsiTheme="minorHAnsi" w:cstheme="minorHAnsi"/>
          <w:sz w:val="18"/>
          <w:szCs w:val="18"/>
        </w:rPr>
        <w:t xml:space="preserve"> appointment as Recorder of Burnley over a decade later – some 26 years after Dickinson’s prediction</w:t>
      </w:r>
      <w:r w:rsidR="003738E5" w:rsidRPr="001E2538">
        <w:rPr>
          <w:rFonts w:asciiTheme="minorHAnsi" w:hAnsiTheme="minorHAnsi" w:cstheme="minorHAnsi"/>
          <w:sz w:val="18"/>
          <w:szCs w:val="18"/>
        </w:rPr>
        <w:t>.</w:t>
      </w:r>
    </w:p>
  </w:footnote>
  <w:footnote w:id="22">
    <w:p w14:paraId="105E7DEE" w14:textId="48253127" w:rsidR="00397606" w:rsidRPr="001E2538" w:rsidRDefault="0039760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See </w:t>
      </w:r>
      <w:proofErr w:type="spellStart"/>
      <w:proofErr w:type="gramStart"/>
      <w:r w:rsidRPr="001E2538">
        <w:rPr>
          <w:rFonts w:asciiTheme="minorHAnsi" w:hAnsiTheme="minorHAnsi" w:cstheme="minorHAnsi"/>
          <w:sz w:val="18"/>
          <w:szCs w:val="18"/>
        </w:rPr>
        <w:t>eg</w:t>
      </w:r>
      <w:proofErr w:type="spellEnd"/>
      <w:proofErr w:type="gramEnd"/>
      <w:r w:rsidRPr="001E2538">
        <w:rPr>
          <w:rFonts w:asciiTheme="minorHAnsi" w:hAnsiTheme="minorHAnsi" w:cstheme="minorHAnsi"/>
          <w:sz w:val="18"/>
          <w:szCs w:val="18"/>
        </w:rPr>
        <w:t xml:space="preserve"> </w:t>
      </w:r>
      <w:proofErr w:type="spellStart"/>
      <w:r w:rsidRPr="001E2538">
        <w:rPr>
          <w:rFonts w:asciiTheme="minorHAnsi" w:hAnsiTheme="minorHAnsi" w:cstheme="minorHAnsi"/>
          <w:sz w:val="18"/>
          <w:szCs w:val="18"/>
        </w:rPr>
        <w:t>Monidipa</w:t>
      </w:r>
      <w:proofErr w:type="spellEnd"/>
      <w:r w:rsidRPr="001E2538">
        <w:rPr>
          <w:rFonts w:asciiTheme="minorHAnsi" w:hAnsiTheme="minorHAnsi" w:cstheme="minorHAnsi"/>
          <w:sz w:val="18"/>
          <w:szCs w:val="18"/>
        </w:rPr>
        <w:t xml:space="preserve"> </w:t>
      </w:r>
      <w:proofErr w:type="spellStart"/>
      <w:r w:rsidRPr="001E2538">
        <w:rPr>
          <w:rFonts w:asciiTheme="minorHAnsi" w:hAnsiTheme="minorHAnsi" w:cstheme="minorHAnsi"/>
          <w:sz w:val="18"/>
          <w:szCs w:val="18"/>
        </w:rPr>
        <w:t>Founzder</w:t>
      </w:r>
      <w:proofErr w:type="spellEnd"/>
      <w:r w:rsidR="004F7A5E" w:rsidRPr="001E2538">
        <w:rPr>
          <w:rFonts w:asciiTheme="minorHAnsi" w:hAnsiTheme="minorHAnsi" w:cstheme="minorHAnsi"/>
          <w:sz w:val="18"/>
          <w:szCs w:val="18"/>
        </w:rPr>
        <w:t xml:space="preserve">, </w:t>
      </w:r>
      <w:r w:rsidRPr="001E2538">
        <w:rPr>
          <w:rFonts w:asciiTheme="minorHAnsi" w:hAnsiTheme="minorHAnsi" w:cstheme="minorHAnsi"/>
          <w:sz w:val="18"/>
          <w:szCs w:val="18"/>
        </w:rPr>
        <w:t xml:space="preserve">‘Judicial diversity progress </w:t>
      </w:r>
      <w:r w:rsidR="006F7509" w:rsidRPr="001E2538">
        <w:rPr>
          <w:rFonts w:asciiTheme="minorHAnsi" w:hAnsiTheme="minorHAnsi" w:cstheme="minorHAnsi"/>
          <w:sz w:val="18"/>
          <w:szCs w:val="18"/>
        </w:rPr>
        <w:t>“</w:t>
      </w:r>
      <w:r w:rsidRPr="001E2538">
        <w:rPr>
          <w:rFonts w:asciiTheme="minorHAnsi" w:hAnsiTheme="minorHAnsi" w:cstheme="minorHAnsi"/>
          <w:sz w:val="18"/>
          <w:szCs w:val="18"/>
        </w:rPr>
        <w:t>better than people might think</w:t>
      </w:r>
      <w:r w:rsidR="006F7509" w:rsidRPr="001E2538">
        <w:rPr>
          <w:rFonts w:asciiTheme="minorHAnsi" w:hAnsiTheme="minorHAnsi" w:cstheme="minorHAnsi"/>
          <w:sz w:val="18"/>
          <w:szCs w:val="18"/>
        </w:rPr>
        <w:t>”</w:t>
      </w:r>
      <w:r w:rsidRPr="001E2538">
        <w:rPr>
          <w:rFonts w:asciiTheme="minorHAnsi" w:hAnsiTheme="minorHAnsi" w:cstheme="minorHAnsi"/>
          <w:sz w:val="18"/>
          <w:szCs w:val="18"/>
        </w:rPr>
        <w:t xml:space="preserve">, says lord chief justice’ </w:t>
      </w:r>
      <w:r w:rsidRPr="001E2538">
        <w:rPr>
          <w:rFonts w:asciiTheme="minorHAnsi" w:hAnsiTheme="minorHAnsi" w:cstheme="minorHAnsi"/>
          <w:i/>
          <w:iCs/>
          <w:sz w:val="18"/>
          <w:szCs w:val="18"/>
        </w:rPr>
        <w:t>Law Society Gazette</w:t>
      </w:r>
      <w:r w:rsidRPr="001E2538">
        <w:rPr>
          <w:rFonts w:asciiTheme="minorHAnsi" w:hAnsiTheme="minorHAnsi" w:cstheme="minorHAnsi"/>
          <w:sz w:val="18"/>
          <w:szCs w:val="18"/>
        </w:rPr>
        <w:t xml:space="preserve"> 18 May 2022.</w:t>
      </w:r>
    </w:p>
  </w:footnote>
  <w:footnote w:id="23">
    <w:p w14:paraId="4197F676" w14:textId="238687EC" w:rsidR="00C57D8B" w:rsidRPr="001E2538" w:rsidRDefault="00C57D8B"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Between October 2018-January 2020, there were three women Justices of the Supreme Court: Lady Hale (President), Lady Arden and Lady Black. </w:t>
      </w:r>
    </w:p>
  </w:footnote>
  <w:footnote w:id="24">
    <w:p w14:paraId="679C55DF" w14:textId="0B920FA1" w:rsidR="00CE253A" w:rsidRPr="00A17E2B" w:rsidRDefault="00CE253A" w:rsidP="00E723E9">
      <w:pPr>
        <w:pStyle w:val="FootnoteText"/>
        <w:adjustRightInd w:val="0"/>
        <w:snapToGrid w:val="0"/>
        <w:rPr>
          <w:rFonts w:asciiTheme="minorHAnsi" w:hAnsiTheme="minorHAnsi" w:cstheme="minorHAnsi"/>
          <w:sz w:val="18"/>
          <w:szCs w:val="18"/>
        </w:rPr>
      </w:pPr>
      <w:r w:rsidRPr="00A17E2B">
        <w:rPr>
          <w:rStyle w:val="FootnoteReference"/>
          <w:rFonts w:asciiTheme="minorHAnsi" w:hAnsiTheme="minorHAnsi" w:cstheme="minorHAnsi"/>
          <w:sz w:val="18"/>
          <w:szCs w:val="18"/>
        </w:rPr>
        <w:footnoteRef/>
      </w:r>
      <w:r w:rsidRPr="00A17E2B">
        <w:rPr>
          <w:rFonts w:asciiTheme="minorHAnsi" w:hAnsiTheme="minorHAnsi" w:cstheme="minorHAnsi"/>
          <w:sz w:val="18"/>
          <w:szCs w:val="18"/>
        </w:rPr>
        <w:t xml:space="preserve"> </w:t>
      </w:r>
      <w:r w:rsidRPr="00A17E2B">
        <w:rPr>
          <w:rFonts w:asciiTheme="minorHAnsi" w:hAnsiTheme="minorHAnsi" w:cstheme="minorHAnsi"/>
          <w:sz w:val="18"/>
          <w:szCs w:val="18"/>
        </w:rPr>
        <w:tab/>
        <w:t xml:space="preserve">JUSTICE </w:t>
      </w:r>
      <w:r w:rsidRPr="00A17E2B">
        <w:rPr>
          <w:rFonts w:asciiTheme="minorHAnsi" w:hAnsiTheme="minorHAnsi" w:cstheme="minorHAnsi"/>
          <w:i/>
          <w:iCs/>
          <w:sz w:val="18"/>
          <w:szCs w:val="18"/>
        </w:rPr>
        <w:t xml:space="preserve">Increasing Judicial Diversity </w:t>
      </w:r>
      <w:r w:rsidRPr="00A17E2B">
        <w:rPr>
          <w:rFonts w:asciiTheme="minorHAnsi" w:hAnsiTheme="minorHAnsi" w:cstheme="minorHAnsi"/>
          <w:sz w:val="18"/>
          <w:szCs w:val="18"/>
        </w:rPr>
        <w:t>(2017) [3.22].</w:t>
      </w:r>
      <w:r w:rsidR="00684CBD" w:rsidRPr="00A17E2B">
        <w:rPr>
          <w:rFonts w:asciiTheme="minorHAnsi" w:hAnsiTheme="minorHAnsi" w:cstheme="minorHAnsi"/>
          <w:sz w:val="18"/>
          <w:szCs w:val="18"/>
        </w:rPr>
        <w:t xml:space="preserve"> </w:t>
      </w:r>
    </w:p>
  </w:footnote>
  <w:footnote w:id="25">
    <w:p w14:paraId="4D8B5025" w14:textId="69A2BEF0" w:rsidR="00E2479F" w:rsidRPr="001E2538" w:rsidRDefault="00E2479F">
      <w:pPr>
        <w:pStyle w:val="FootnoteText"/>
        <w:rPr>
          <w:rFonts w:asciiTheme="minorHAnsi" w:hAnsiTheme="minorHAnsi" w:cstheme="minorHAnsi"/>
          <w:sz w:val="18"/>
          <w:szCs w:val="18"/>
        </w:rPr>
      </w:pPr>
      <w:r w:rsidRPr="00A17E2B">
        <w:rPr>
          <w:rStyle w:val="FootnoteReference"/>
          <w:rFonts w:asciiTheme="minorHAnsi" w:hAnsiTheme="minorHAnsi" w:cstheme="minorHAnsi"/>
          <w:sz w:val="18"/>
          <w:szCs w:val="18"/>
        </w:rPr>
        <w:footnoteRef/>
      </w:r>
      <w:r w:rsidRPr="00A17E2B">
        <w:rPr>
          <w:rFonts w:asciiTheme="minorHAnsi" w:hAnsiTheme="minorHAnsi" w:cstheme="minorHAnsi"/>
          <w:sz w:val="18"/>
          <w:szCs w:val="18"/>
        </w:rPr>
        <w:t xml:space="preserve"> </w:t>
      </w:r>
      <w:r w:rsidRPr="00A17E2B">
        <w:rPr>
          <w:rFonts w:asciiTheme="minorHAnsi" w:hAnsiTheme="minorHAnsi" w:cstheme="minorHAnsi"/>
          <w:sz w:val="18"/>
          <w:szCs w:val="18"/>
        </w:rPr>
        <w:tab/>
        <w:t xml:space="preserve">There was, </w:t>
      </w:r>
      <w:proofErr w:type="spellStart"/>
      <w:r w:rsidRPr="00A17E2B">
        <w:rPr>
          <w:rFonts w:asciiTheme="minorHAnsi" w:hAnsiTheme="minorHAnsi" w:cstheme="minorHAnsi"/>
          <w:sz w:val="18"/>
          <w:szCs w:val="18"/>
        </w:rPr>
        <w:t>eg</w:t>
      </w:r>
      <w:proofErr w:type="spellEnd"/>
      <w:r w:rsidRPr="00A17E2B">
        <w:rPr>
          <w:rFonts w:asciiTheme="minorHAnsi" w:hAnsiTheme="minorHAnsi" w:cstheme="minorHAnsi"/>
          <w:sz w:val="18"/>
          <w:szCs w:val="18"/>
        </w:rPr>
        <w:t>, no mention of diversity in the Lord Chancellor’s swearing in speech, delivered at the Royal Courts of Justice in London</w:t>
      </w:r>
      <w:r w:rsidRPr="001E2538">
        <w:rPr>
          <w:rFonts w:asciiTheme="minorHAnsi" w:hAnsiTheme="minorHAnsi" w:cstheme="minorHAnsi"/>
          <w:sz w:val="18"/>
          <w:szCs w:val="18"/>
        </w:rPr>
        <w:t xml:space="preserve"> on 24 May 2023, in which he listed his four priorities: managing and reducing court and tribunal case load thereby speeding up access to justice for litigants and victims; progressing the Victims and Prisoners Bill; ‘operationalising</w:t>
      </w:r>
      <w:r w:rsidR="001568A3">
        <w:rPr>
          <w:rFonts w:asciiTheme="minorHAnsi" w:hAnsiTheme="minorHAnsi" w:cstheme="minorHAnsi"/>
          <w:sz w:val="18"/>
          <w:szCs w:val="18"/>
        </w:rPr>
        <w:t>’ the Government’s</w:t>
      </w:r>
      <w:r w:rsidRPr="001E2538">
        <w:rPr>
          <w:rFonts w:asciiTheme="minorHAnsi" w:hAnsiTheme="minorHAnsi" w:cstheme="minorHAnsi"/>
          <w:sz w:val="18"/>
          <w:szCs w:val="18"/>
        </w:rPr>
        <w:t xml:space="preserve"> </w:t>
      </w:r>
      <w:r w:rsidR="001568A3">
        <w:rPr>
          <w:rFonts w:asciiTheme="minorHAnsi" w:hAnsiTheme="minorHAnsi" w:cstheme="minorHAnsi"/>
          <w:sz w:val="18"/>
          <w:szCs w:val="18"/>
        </w:rPr>
        <w:t>‘</w:t>
      </w:r>
      <w:r w:rsidRPr="001E2538">
        <w:rPr>
          <w:rFonts w:asciiTheme="minorHAnsi" w:hAnsiTheme="minorHAnsi" w:cstheme="minorHAnsi"/>
          <w:sz w:val="18"/>
          <w:szCs w:val="18"/>
        </w:rPr>
        <w:t xml:space="preserve">immigration legislation’ and; promoting access to justice. </w:t>
      </w:r>
    </w:p>
  </w:footnote>
  <w:footnote w:id="26">
    <w:p w14:paraId="4A2F8C34" w14:textId="758E89DD" w:rsidR="00645C23" w:rsidRPr="001E2538" w:rsidRDefault="00645C23"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See </w:t>
      </w:r>
      <w:proofErr w:type="spellStart"/>
      <w:r w:rsidRPr="001E2538">
        <w:rPr>
          <w:rFonts w:asciiTheme="minorHAnsi" w:hAnsiTheme="minorHAnsi" w:cstheme="minorHAnsi"/>
          <w:sz w:val="18"/>
          <w:szCs w:val="18"/>
        </w:rPr>
        <w:t>eg</w:t>
      </w:r>
      <w:proofErr w:type="spellEnd"/>
      <w:r w:rsidRPr="001E2538">
        <w:rPr>
          <w:rFonts w:asciiTheme="minorHAnsi" w:hAnsiTheme="minorHAnsi" w:cstheme="minorHAnsi"/>
          <w:sz w:val="18"/>
          <w:szCs w:val="18"/>
        </w:rPr>
        <w:t xml:space="preserve"> Haroon Siddique</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‘From crime to the courts: the biggest issues the UK’s new PM will face’ </w:t>
      </w:r>
      <w:r w:rsidRPr="001E2538">
        <w:rPr>
          <w:rFonts w:asciiTheme="minorHAnsi" w:hAnsiTheme="minorHAnsi" w:cstheme="minorHAnsi"/>
          <w:i/>
          <w:iCs/>
          <w:sz w:val="18"/>
          <w:szCs w:val="18"/>
        </w:rPr>
        <w:t xml:space="preserve">The Guardian </w:t>
      </w:r>
      <w:r w:rsidRPr="001E2538">
        <w:rPr>
          <w:rFonts w:asciiTheme="minorHAnsi" w:hAnsiTheme="minorHAnsi" w:cstheme="minorHAnsi"/>
          <w:sz w:val="18"/>
          <w:szCs w:val="18"/>
        </w:rPr>
        <w:t xml:space="preserve">28 August 2022; </w:t>
      </w:r>
      <w:r w:rsidR="00E64A4D" w:rsidRPr="001E2538">
        <w:rPr>
          <w:rFonts w:asciiTheme="minorHAnsi" w:hAnsiTheme="minorHAnsi" w:cstheme="minorHAnsi"/>
          <w:sz w:val="18"/>
          <w:szCs w:val="18"/>
        </w:rPr>
        <w:t>HM Crown Prosecution Service Inspectorate</w:t>
      </w:r>
      <w:r w:rsidR="004F7A5E" w:rsidRPr="001E2538">
        <w:rPr>
          <w:rFonts w:asciiTheme="minorHAnsi" w:hAnsiTheme="minorHAnsi" w:cstheme="minorHAnsi"/>
          <w:sz w:val="18"/>
          <w:szCs w:val="18"/>
        </w:rPr>
        <w:t>,</w:t>
      </w:r>
      <w:r w:rsidR="006F7509" w:rsidRPr="001E2538">
        <w:rPr>
          <w:rFonts w:asciiTheme="minorHAnsi" w:hAnsiTheme="minorHAnsi" w:cstheme="minorHAnsi"/>
          <w:sz w:val="18"/>
          <w:szCs w:val="18"/>
        </w:rPr>
        <w:t xml:space="preserve"> </w:t>
      </w:r>
      <w:r w:rsidR="00E64A4D" w:rsidRPr="001E2538">
        <w:rPr>
          <w:rFonts w:asciiTheme="minorHAnsi" w:hAnsiTheme="minorHAnsi" w:cstheme="minorHAnsi"/>
          <w:i/>
          <w:iCs/>
          <w:sz w:val="18"/>
          <w:szCs w:val="18"/>
        </w:rPr>
        <w:t>The impact of the Covid-19 pandemic on the criminal justice system - a progress report</w:t>
      </w:r>
      <w:r w:rsidR="006F7509" w:rsidRPr="001E2538">
        <w:rPr>
          <w:rFonts w:asciiTheme="minorHAnsi" w:hAnsiTheme="minorHAnsi" w:cstheme="minorHAnsi"/>
          <w:sz w:val="18"/>
          <w:szCs w:val="18"/>
        </w:rPr>
        <w:t xml:space="preserve"> </w:t>
      </w:r>
      <w:r w:rsidR="00E64A4D" w:rsidRPr="001E2538">
        <w:rPr>
          <w:rFonts w:asciiTheme="minorHAnsi" w:hAnsiTheme="minorHAnsi" w:cstheme="minorHAnsi"/>
          <w:sz w:val="18"/>
          <w:szCs w:val="18"/>
        </w:rPr>
        <w:t xml:space="preserve">May 2022; </w:t>
      </w:r>
      <w:r w:rsidRPr="001E2538">
        <w:rPr>
          <w:rFonts w:asciiTheme="minorHAnsi" w:hAnsiTheme="minorHAnsi" w:cstheme="minorHAnsi"/>
          <w:sz w:val="18"/>
          <w:szCs w:val="18"/>
        </w:rPr>
        <w:t>Cheryl Thomas</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2020 UK Judicial Attitude Survey: Report of findings covering salaried judges in England &amp; Wales Courts and UK Tribunals</w:t>
      </w:r>
      <w:r w:rsidRPr="001E2538">
        <w:rPr>
          <w:rFonts w:asciiTheme="minorHAnsi" w:hAnsiTheme="minorHAnsi" w:cstheme="minorHAnsi"/>
          <w:sz w:val="18"/>
          <w:szCs w:val="18"/>
        </w:rPr>
        <w:t xml:space="preserve"> 4 February 2021; Adrian Jack</w:t>
      </w:r>
      <w:r w:rsidR="004F7A5E" w:rsidRPr="001E2538">
        <w:rPr>
          <w:rFonts w:asciiTheme="minorHAnsi" w:hAnsiTheme="minorHAnsi" w:cstheme="minorHAnsi"/>
          <w:sz w:val="18"/>
          <w:szCs w:val="18"/>
        </w:rPr>
        <w:t>,</w:t>
      </w:r>
      <w:r w:rsidR="00E64A4D" w:rsidRPr="001E2538">
        <w:rPr>
          <w:rFonts w:asciiTheme="minorHAnsi" w:hAnsiTheme="minorHAnsi" w:cstheme="minorHAnsi"/>
          <w:sz w:val="18"/>
          <w:szCs w:val="18"/>
        </w:rPr>
        <w:t xml:space="preserve"> ‘The recruitment crisis is damaging every level of the judiciary’ </w:t>
      </w:r>
      <w:r w:rsidR="00E64A4D" w:rsidRPr="001E2538">
        <w:rPr>
          <w:rFonts w:asciiTheme="minorHAnsi" w:hAnsiTheme="minorHAnsi" w:cstheme="minorHAnsi"/>
          <w:i/>
          <w:iCs/>
          <w:sz w:val="18"/>
          <w:szCs w:val="18"/>
        </w:rPr>
        <w:t>The Times</w:t>
      </w:r>
      <w:r w:rsidRPr="001E2538">
        <w:rPr>
          <w:rFonts w:asciiTheme="minorHAnsi" w:hAnsiTheme="minorHAnsi" w:cstheme="minorHAnsi"/>
          <w:sz w:val="18"/>
          <w:szCs w:val="18"/>
        </w:rPr>
        <w:t xml:space="preserve"> </w:t>
      </w:r>
      <w:r w:rsidR="00E64A4D" w:rsidRPr="001E2538">
        <w:rPr>
          <w:rFonts w:asciiTheme="minorHAnsi" w:hAnsiTheme="minorHAnsi" w:cstheme="minorHAnsi"/>
          <w:sz w:val="18"/>
          <w:szCs w:val="18"/>
        </w:rPr>
        <w:t>8 March 2018.</w:t>
      </w:r>
    </w:p>
  </w:footnote>
  <w:footnote w:id="27">
    <w:p w14:paraId="599A2014" w14:textId="681ACE0F" w:rsidR="00E64A4D" w:rsidRPr="001E2538" w:rsidRDefault="00E64A4D" w:rsidP="00E723E9">
      <w:pPr>
        <w:pStyle w:val="FootnoteText"/>
        <w:adjustRightInd w:val="0"/>
        <w:snapToGrid w:val="0"/>
        <w:rPr>
          <w:rFonts w:asciiTheme="minorHAnsi" w:hAnsiTheme="minorHAnsi" w:cstheme="minorHAnsi"/>
          <w:sz w:val="18"/>
          <w:szCs w:val="18"/>
          <w:lang w:val="en-US"/>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Not that it ever really went away. Since 200</w:t>
      </w:r>
      <w:r w:rsidR="002842F8" w:rsidRPr="001E2538">
        <w:rPr>
          <w:rFonts w:asciiTheme="minorHAnsi" w:hAnsiTheme="minorHAnsi" w:cstheme="minorHAnsi"/>
          <w:sz w:val="18"/>
          <w:szCs w:val="18"/>
        </w:rPr>
        <w:t>6</w:t>
      </w:r>
      <w:r w:rsidR="003E23F3" w:rsidRPr="001E2538">
        <w:rPr>
          <w:rFonts w:asciiTheme="minorHAnsi" w:hAnsiTheme="minorHAnsi" w:cstheme="minorHAnsi"/>
          <w:sz w:val="18"/>
          <w:szCs w:val="18"/>
        </w:rPr>
        <w:t>,</w:t>
      </w:r>
      <w:r w:rsidR="002842F8" w:rsidRPr="001E2538">
        <w:rPr>
          <w:rFonts w:asciiTheme="minorHAnsi" w:hAnsiTheme="minorHAnsi" w:cstheme="minorHAnsi"/>
          <w:sz w:val="18"/>
          <w:szCs w:val="18"/>
        </w:rPr>
        <w:t xml:space="preserve"> when the Judicial Appointments Commission started work</w:t>
      </w:r>
      <w:r w:rsidRPr="001E2538">
        <w:rPr>
          <w:rFonts w:asciiTheme="minorHAnsi" w:hAnsiTheme="minorHAnsi" w:cstheme="minorHAnsi"/>
          <w:sz w:val="18"/>
          <w:szCs w:val="18"/>
        </w:rPr>
        <w:t>, there have been just under 30 parliamentary, official, judicial</w:t>
      </w:r>
      <w:r w:rsidR="008D5210" w:rsidRPr="001E2538">
        <w:rPr>
          <w:rFonts w:asciiTheme="minorHAnsi" w:hAnsiTheme="minorHAnsi" w:cstheme="minorHAnsi"/>
          <w:sz w:val="18"/>
          <w:szCs w:val="18"/>
        </w:rPr>
        <w:t xml:space="preserve">, academic </w:t>
      </w:r>
      <w:r w:rsidRPr="001E2538">
        <w:rPr>
          <w:rFonts w:asciiTheme="minorHAnsi" w:hAnsiTheme="minorHAnsi" w:cstheme="minorHAnsi"/>
          <w:sz w:val="18"/>
          <w:szCs w:val="18"/>
        </w:rPr>
        <w:t>and</w:t>
      </w:r>
      <w:r w:rsidR="008D5210" w:rsidRPr="001E2538">
        <w:rPr>
          <w:rFonts w:asciiTheme="minorHAnsi" w:hAnsiTheme="minorHAnsi" w:cstheme="minorHAnsi"/>
          <w:sz w:val="18"/>
          <w:szCs w:val="18"/>
        </w:rPr>
        <w:t>/or</w:t>
      </w:r>
      <w:r w:rsidRPr="001E2538">
        <w:rPr>
          <w:rFonts w:asciiTheme="minorHAnsi" w:hAnsiTheme="minorHAnsi" w:cstheme="minorHAnsi"/>
          <w:sz w:val="18"/>
          <w:szCs w:val="18"/>
        </w:rPr>
        <w:t xml:space="preserve"> third sector reports addressing the ongoing lack of representation</w:t>
      </w:r>
      <w:r w:rsidR="008D5210" w:rsidRPr="001E2538">
        <w:rPr>
          <w:rFonts w:asciiTheme="minorHAnsi" w:hAnsiTheme="minorHAnsi" w:cstheme="minorHAnsi"/>
          <w:sz w:val="18"/>
          <w:szCs w:val="18"/>
        </w:rPr>
        <w:t xml:space="preserve"> in the judiciary and/or setting out strategies </w:t>
      </w:r>
      <w:r w:rsidRPr="001E2538">
        <w:rPr>
          <w:rFonts w:asciiTheme="minorHAnsi" w:hAnsiTheme="minorHAnsi" w:cstheme="minorHAnsi"/>
          <w:sz w:val="18"/>
          <w:szCs w:val="18"/>
        </w:rPr>
        <w:t>for reform</w:t>
      </w:r>
      <w:r w:rsidR="00502666"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p>
  </w:footnote>
  <w:footnote w:id="28">
    <w:p w14:paraId="4CD55522" w14:textId="1DAC0F8C" w:rsidR="00502666" w:rsidRPr="001E2538" w:rsidRDefault="0050266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See </w:t>
      </w:r>
      <w:proofErr w:type="spellStart"/>
      <w:proofErr w:type="gramStart"/>
      <w:r w:rsidRPr="001E2538">
        <w:rPr>
          <w:rFonts w:asciiTheme="minorHAnsi" w:hAnsiTheme="minorHAnsi" w:cstheme="minorHAnsi"/>
          <w:sz w:val="18"/>
          <w:szCs w:val="18"/>
        </w:rPr>
        <w:t>eg</w:t>
      </w:r>
      <w:proofErr w:type="spellEnd"/>
      <w:proofErr w:type="gramEnd"/>
      <w:r w:rsidRPr="001E2538">
        <w:rPr>
          <w:rFonts w:asciiTheme="minorHAnsi" w:hAnsiTheme="minorHAnsi" w:cstheme="minorHAnsi"/>
          <w:sz w:val="18"/>
          <w:szCs w:val="18"/>
        </w:rPr>
        <w:t xml:space="preserve"> Keir Monteith et al</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shd w:val="clear" w:color="auto" w:fill="FFFFFF"/>
        </w:rPr>
        <w:t>Racial Bias and the Bench: A response to the Judicial Diversity and Inclusion Strategy (2020-2025</w:t>
      </w:r>
      <w:r w:rsidRPr="001E2538">
        <w:rPr>
          <w:rFonts w:asciiTheme="minorHAnsi" w:hAnsiTheme="minorHAnsi" w:cstheme="minorHAnsi"/>
          <w:sz w:val="18"/>
          <w:szCs w:val="18"/>
          <w:shd w:val="clear" w:color="auto" w:fill="FFFFFF"/>
        </w:rPr>
        <w:t>) Nov</w:t>
      </w:r>
      <w:r w:rsidR="006F7509" w:rsidRPr="001E2538">
        <w:rPr>
          <w:rFonts w:asciiTheme="minorHAnsi" w:hAnsiTheme="minorHAnsi" w:cstheme="minorHAnsi"/>
          <w:sz w:val="18"/>
          <w:szCs w:val="18"/>
          <w:shd w:val="clear" w:color="auto" w:fill="FFFFFF"/>
        </w:rPr>
        <w:t>ember</w:t>
      </w:r>
      <w:r w:rsidRPr="001E2538">
        <w:rPr>
          <w:rFonts w:asciiTheme="minorHAnsi" w:hAnsiTheme="minorHAnsi" w:cstheme="minorHAnsi"/>
          <w:sz w:val="18"/>
          <w:szCs w:val="18"/>
          <w:shd w:val="clear" w:color="auto" w:fill="FFFFFF"/>
        </w:rPr>
        <w:t xml:space="preserve"> 2022;</w:t>
      </w:r>
      <w:r w:rsidR="0023179F" w:rsidRPr="001E2538">
        <w:rPr>
          <w:rFonts w:asciiTheme="minorHAnsi" w:hAnsiTheme="minorHAnsi" w:cstheme="minorHAnsi"/>
          <w:sz w:val="18"/>
          <w:szCs w:val="18"/>
          <w:shd w:val="clear" w:color="auto" w:fill="FFFFFF"/>
        </w:rPr>
        <w:t xml:space="preserve"> </w:t>
      </w:r>
      <w:r w:rsidR="00943DF2" w:rsidRPr="001E2538">
        <w:rPr>
          <w:rFonts w:asciiTheme="minorHAnsi" w:hAnsiTheme="minorHAnsi" w:cstheme="minorHAnsi"/>
          <w:sz w:val="18"/>
          <w:szCs w:val="18"/>
          <w:shd w:val="clear" w:color="auto" w:fill="FFFFFF"/>
        </w:rPr>
        <w:t xml:space="preserve">Catherine </w:t>
      </w:r>
      <w:proofErr w:type="spellStart"/>
      <w:r w:rsidR="00943DF2" w:rsidRPr="001E2538">
        <w:rPr>
          <w:rFonts w:asciiTheme="minorHAnsi" w:hAnsiTheme="minorHAnsi" w:cstheme="minorHAnsi"/>
          <w:sz w:val="18"/>
          <w:szCs w:val="18"/>
          <w:shd w:val="clear" w:color="auto" w:fill="FFFFFF"/>
        </w:rPr>
        <w:t>Baksi</w:t>
      </w:r>
      <w:proofErr w:type="spellEnd"/>
      <w:r w:rsidR="004F7A5E" w:rsidRPr="001E2538">
        <w:rPr>
          <w:rFonts w:asciiTheme="minorHAnsi" w:hAnsiTheme="minorHAnsi" w:cstheme="minorHAnsi"/>
          <w:sz w:val="18"/>
          <w:szCs w:val="18"/>
          <w:shd w:val="clear" w:color="auto" w:fill="FFFFFF"/>
        </w:rPr>
        <w:t>,</w:t>
      </w:r>
      <w:r w:rsidR="00943DF2" w:rsidRPr="001E2538">
        <w:rPr>
          <w:rFonts w:asciiTheme="minorHAnsi" w:hAnsiTheme="minorHAnsi" w:cstheme="minorHAnsi"/>
          <w:sz w:val="18"/>
          <w:szCs w:val="18"/>
        </w:rPr>
        <w:t xml:space="preserve"> ‘Lack of judge diversity is “scandalous”’ </w:t>
      </w:r>
      <w:r w:rsidR="00943DF2" w:rsidRPr="001E2538">
        <w:rPr>
          <w:rFonts w:asciiTheme="minorHAnsi" w:hAnsiTheme="minorHAnsi" w:cstheme="minorHAnsi"/>
          <w:i/>
          <w:iCs/>
          <w:sz w:val="18"/>
          <w:szCs w:val="18"/>
        </w:rPr>
        <w:t>The Times</w:t>
      </w:r>
      <w:r w:rsidR="00943DF2" w:rsidRPr="001E2538">
        <w:rPr>
          <w:rFonts w:asciiTheme="minorHAnsi" w:hAnsiTheme="minorHAnsi" w:cstheme="minorHAnsi"/>
          <w:sz w:val="18"/>
          <w:szCs w:val="18"/>
        </w:rPr>
        <w:t xml:space="preserve"> 21 July 2022; </w:t>
      </w:r>
      <w:r w:rsidR="006F7509" w:rsidRPr="001E2538">
        <w:rPr>
          <w:rFonts w:asciiTheme="minorHAnsi" w:hAnsiTheme="minorHAnsi" w:cstheme="minorHAnsi"/>
          <w:sz w:val="18"/>
          <w:szCs w:val="18"/>
        </w:rPr>
        <w:t>David Lammy</w:t>
      </w:r>
      <w:r w:rsidR="004F7A5E" w:rsidRPr="001E2538">
        <w:rPr>
          <w:rFonts w:asciiTheme="minorHAnsi" w:hAnsiTheme="minorHAnsi" w:cstheme="minorHAnsi"/>
          <w:sz w:val="18"/>
          <w:szCs w:val="18"/>
        </w:rPr>
        <w:t>,</w:t>
      </w:r>
      <w:r w:rsidR="006F7509" w:rsidRPr="001E2538">
        <w:rPr>
          <w:rFonts w:asciiTheme="minorHAnsi" w:hAnsiTheme="minorHAnsi" w:cstheme="minorHAnsi"/>
          <w:sz w:val="18"/>
          <w:szCs w:val="18"/>
        </w:rPr>
        <w:t xml:space="preserve"> </w:t>
      </w:r>
      <w:r w:rsidRPr="001E2538">
        <w:rPr>
          <w:rFonts w:asciiTheme="minorHAnsi" w:hAnsiTheme="minorHAnsi" w:cstheme="minorHAnsi"/>
          <w:i/>
          <w:iCs/>
          <w:sz w:val="18"/>
          <w:szCs w:val="18"/>
          <w:shd w:val="clear" w:color="auto" w:fill="FFFFFF"/>
        </w:rPr>
        <w:t>The Lammy Review: An independent review into the treatment of, and outcomes for, Black, Asian and Minority Ethnic individuals in the Criminal Justice System</w:t>
      </w:r>
      <w:r w:rsidRPr="001E2538">
        <w:rPr>
          <w:rFonts w:asciiTheme="minorHAnsi" w:hAnsiTheme="minorHAnsi" w:cstheme="minorHAnsi"/>
          <w:sz w:val="18"/>
          <w:szCs w:val="18"/>
          <w:shd w:val="clear" w:color="auto" w:fill="FFFFFF"/>
        </w:rPr>
        <w:t xml:space="preserve"> 2017</w:t>
      </w:r>
      <w:r w:rsidR="006F7509" w:rsidRPr="001E2538">
        <w:rPr>
          <w:rFonts w:asciiTheme="minorHAnsi" w:hAnsiTheme="minorHAnsi" w:cstheme="minorHAnsi"/>
          <w:sz w:val="18"/>
          <w:szCs w:val="18"/>
          <w:shd w:val="clear" w:color="auto" w:fill="FFFFFF"/>
        </w:rPr>
        <w:t>.</w:t>
      </w:r>
    </w:p>
  </w:footnote>
  <w:footnote w:id="29">
    <w:p w14:paraId="18EA1BA1" w14:textId="6CDD4260" w:rsidR="008D5210" w:rsidRPr="001E2538" w:rsidRDefault="008D5210"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Ministry of Justice</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‘Diversity of the judiciary: Legal professions, new </w:t>
      </w:r>
      <w:proofErr w:type="gramStart"/>
      <w:r w:rsidRPr="001E2538">
        <w:rPr>
          <w:rFonts w:asciiTheme="minorHAnsi" w:hAnsiTheme="minorHAnsi" w:cstheme="minorHAnsi"/>
          <w:sz w:val="18"/>
          <w:szCs w:val="18"/>
        </w:rPr>
        <w:t>appointments</w:t>
      </w:r>
      <w:proofErr w:type="gramEnd"/>
      <w:r w:rsidRPr="001E2538">
        <w:rPr>
          <w:rFonts w:asciiTheme="minorHAnsi" w:hAnsiTheme="minorHAnsi" w:cstheme="minorHAnsi"/>
          <w:sz w:val="18"/>
          <w:szCs w:val="18"/>
        </w:rPr>
        <w:t xml:space="preserve"> and current post-holders - 2022 Statistics’ 14 July 2022.</w:t>
      </w:r>
    </w:p>
  </w:footnote>
  <w:footnote w:id="30">
    <w:p w14:paraId="21573F92" w14:textId="19A5569D" w:rsidR="008D5210" w:rsidRPr="001E2538" w:rsidRDefault="008D5210"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Monteith, n </w:t>
      </w:r>
      <w:r w:rsidR="003738E5" w:rsidRPr="001E2538">
        <w:rPr>
          <w:rFonts w:asciiTheme="minorHAnsi" w:hAnsiTheme="minorHAnsi" w:cstheme="minorHAnsi"/>
          <w:sz w:val="18"/>
          <w:szCs w:val="18"/>
        </w:rPr>
        <w:t>2</w:t>
      </w:r>
      <w:r w:rsidR="001568A3">
        <w:rPr>
          <w:rFonts w:asciiTheme="minorHAnsi" w:hAnsiTheme="minorHAnsi" w:cstheme="minorHAnsi"/>
          <w:sz w:val="18"/>
          <w:szCs w:val="18"/>
        </w:rPr>
        <w:t>7</w:t>
      </w:r>
      <w:r w:rsidRPr="001E2538">
        <w:rPr>
          <w:rFonts w:asciiTheme="minorHAnsi" w:hAnsiTheme="minorHAnsi" w:cstheme="minorHAnsi"/>
          <w:sz w:val="18"/>
          <w:szCs w:val="18"/>
        </w:rPr>
        <w:t>, 8.</w:t>
      </w:r>
    </w:p>
  </w:footnote>
  <w:footnote w:id="31">
    <w:p w14:paraId="29F2F24E" w14:textId="7F4858E1" w:rsidR="0030064C" w:rsidRPr="001E2538" w:rsidRDefault="0030064C"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Haroon Siddique</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‘Black judges will be under-represented in judiciary until 2149, says Law Society’ </w:t>
      </w:r>
      <w:r w:rsidRPr="001E2538">
        <w:rPr>
          <w:rFonts w:asciiTheme="minorHAnsi" w:hAnsiTheme="minorHAnsi" w:cstheme="minorHAnsi"/>
          <w:i/>
          <w:iCs/>
          <w:sz w:val="18"/>
          <w:szCs w:val="18"/>
        </w:rPr>
        <w:t>The Guardian</w:t>
      </w:r>
      <w:r w:rsidRPr="001E2538">
        <w:rPr>
          <w:rFonts w:asciiTheme="minorHAnsi" w:hAnsiTheme="minorHAnsi" w:cstheme="minorHAnsi"/>
          <w:sz w:val="18"/>
          <w:szCs w:val="18"/>
        </w:rPr>
        <w:t xml:space="preserve"> 27 October 2022.</w:t>
      </w:r>
    </w:p>
  </w:footnote>
  <w:footnote w:id="32">
    <w:p w14:paraId="57BBF81A" w14:textId="0693366F" w:rsidR="008D5210" w:rsidRPr="001E2538" w:rsidRDefault="008D5210"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F925FC" w:rsidRPr="001E2538">
        <w:rPr>
          <w:rFonts w:asciiTheme="minorHAnsi" w:hAnsiTheme="minorHAnsi" w:cstheme="minorHAnsi"/>
          <w:sz w:val="18"/>
          <w:szCs w:val="18"/>
        </w:rPr>
        <w:tab/>
      </w:r>
      <w:r w:rsidR="00F937C6" w:rsidRPr="001E2538">
        <w:rPr>
          <w:rFonts w:asciiTheme="minorHAnsi" w:hAnsiTheme="minorHAnsi" w:cstheme="minorHAnsi"/>
          <w:sz w:val="18"/>
          <w:szCs w:val="18"/>
        </w:rPr>
        <w:t>The idea of an appointments committee to support the Lord Chancellor in making judicial appointments was first mooted by JUSTICE in 1972 (</w:t>
      </w:r>
      <w:r w:rsidR="00F925FC" w:rsidRPr="001E2538">
        <w:rPr>
          <w:rFonts w:asciiTheme="minorHAnsi" w:hAnsiTheme="minorHAnsi" w:cstheme="minorHAnsi"/>
          <w:sz w:val="18"/>
          <w:szCs w:val="18"/>
        </w:rPr>
        <w:t xml:space="preserve">JUSTICE, </w:t>
      </w:r>
      <w:r w:rsidR="00F925FC" w:rsidRPr="001E2538">
        <w:rPr>
          <w:rFonts w:asciiTheme="minorHAnsi" w:hAnsiTheme="minorHAnsi" w:cstheme="minorHAnsi"/>
          <w:i/>
          <w:iCs/>
          <w:sz w:val="18"/>
          <w:szCs w:val="18"/>
        </w:rPr>
        <w:t>The Judiciary: The Report of a JUSTICE Sub-Committee</w:t>
      </w:r>
      <w:r w:rsidR="00F925FC" w:rsidRPr="001E2538">
        <w:rPr>
          <w:rFonts w:asciiTheme="minorHAnsi" w:hAnsiTheme="minorHAnsi" w:cstheme="minorHAnsi"/>
          <w:sz w:val="18"/>
          <w:szCs w:val="18"/>
        </w:rPr>
        <w:t xml:space="preserve"> (Stevens &amp; Sons Ltd 1972)</w:t>
      </w:r>
      <w:r w:rsidR="00F937C6" w:rsidRPr="001E2538">
        <w:rPr>
          <w:rFonts w:asciiTheme="minorHAnsi" w:hAnsiTheme="minorHAnsi" w:cstheme="minorHAnsi"/>
          <w:sz w:val="18"/>
          <w:szCs w:val="18"/>
        </w:rPr>
        <w:t>)</w:t>
      </w:r>
      <w:r w:rsidR="00F925FC" w:rsidRPr="001E2538">
        <w:rPr>
          <w:rFonts w:asciiTheme="minorHAnsi" w:hAnsiTheme="minorHAnsi" w:cstheme="minorHAnsi"/>
          <w:sz w:val="18"/>
          <w:szCs w:val="18"/>
        </w:rPr>
        <w:t>.</w:t>
      </w:r>
    </w:p>
  </w:footnote>
  <w:footnote w:id="33">
    <w:p w14:paraId="1D80505B" w14:textId="4BA7F245" w:rsidR="00F925FC" w:rsidRPr="001E2538" w:rsidRDefault="00F925FC"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Graham Gee and Erika Rackley</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‘Introduction’ in Graham Gee and Erika Rackley (eds)</w:t>
      </w:r>
      <w:r w:rsidR="00DF4C18" w:rsidRPr="001E2538">
        <w:rPr>
          <w:rFonts w:asciiTheme="minorHAnsi" w:hAnsiTheme="minorHAnsi" w:cstheme="minorHAnsi"/>
          <w:sz w:val="18"/>
          <w:szCs w:val="18"/>
        </w:rPr>
        <w:t>,</w:t>
      </w:r>
      <w:r w:rsidRPr="001E2538">
        <w:rPr>
          <w:rFonts w:asciiTheme="minorHAnsi" w:hAnsiTheme="minorHAnsi" w:cstheme="minorHAnsi"/>
          <w:i/>
          <w:iCs/>
          <w:sz w:val="18"/>
          <w:szCs w:val="18"/>
        </w:rPr>
        <w:t xml:space="preserve"> Debating Judicial Appointments in an Age of Diversity</w:t>
      </w:r>
      <w:r w:rsidRPr="001E2538">
        <w:rPr>
          <w:rFonts w:asciiTheme="minorHAnsi" w:hAnsiTheme="minorHAnsi" w:cstheme="minorHAnsi"/>
          <w:sz w:val="18"/>
          <w:szCs w:val="18"/>
        </w:rPr>
        <w:t xml:space="preserve"> (Routledge 2018)</w:t>
      </w:r>
      <w:r w:rsidR="00C31D48" w:rsidRPr="001E2538">
        <w:rPr>
          <w:rFonts w:asciiTheme="minorHAnsi" w:hAnsiTheme="minorHAnsi" w:cstheme="minorHAnsi"/>
          <w:sz w:val="18"/>
          <w:szCs w:val="18"/>
        </w:rPr>
        <w:t xml:space="preserve"> </w:t>
      </w:r>
      <w:r w:rsidR="0068063C" w:rsidRPr="001E2538">
        <w:rPr>
          <w:rFonts w:asciiTheme="minorHAnsi" w:hAnsiTheme="minorHAnsi" w:cstheme="minorHAnsi"/>
          <w:sz w:val="18"/>
          <w:szCs w:val="18"/>
        </w:rPr>
        <w:t>1-21</w:t>
      </w:r>
      <w:r w:rsidRPr="001E2538">
        <w:rPr>
          <w:rFonts w:asciiTheme="minorHAnsi" w:hAnsiTheme="minorHAnsi" w:cstheme="minorHAnsi"/>
          <w:sz w:val="18"/>
          <w:szCs w:val="18"/>
        </w:rPr>
        <w:t xml:space="preserve"> and papers therein.</w:t>
      </w:r>
    </w:p>
  </w:footnote>
  <w:footnote w:id="34">
    <w:p w14:paraId="3EFD8046" w14:textId="62DB5554" w:rsidR="00CF3162" w:rsidRPr="001E2538" w:rsidRDefault="00CF3162"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E00A5E" w:rsidRPr="001E2538">
        <w:rPr>
          <w:rFonts w:asciiTheme="minorHAnsi" w:hAnsiTheme="minorHAnsi" w:cstheme="minorHAnsi"/>
          <w:sz w:val="18"/>
          <w:szCs w:val="18"/>
        </w:rPr>
        <w:tab/>
      </w:r>
      <w:r w:rsidRPr="001E2538">
        <w:rPr>
          <w:rFonts w:asciiTheme="minorHAnsi" w:hAnsiTheme="minorHAnsi" w:cstheme="minorHAnsi"/>
          <w:sz w:val="18"/>
          <w:szCs w:val="18"/>
        </w:rPr>
        <w:t xml:space="preserve">See </w:t>
      </w:r>
      <w:proofErr w:type="spellStart"/>
      <w:proofErr w:type="gramStart"/>
      <w:r w:rsidRPr="001E2538">
        <w:rPr>
          <w:rFonts w:asciiTheme="minorHAnsi" w:hAnsiTheme="minorHAnsi" w:cstheme="minorHAnsi"/>
          <w:sz w:val="18"/>
          <w:szCs w:val="18"/>
        </w:rPr>
        <w:t>eg</w:t>
      </w:r>
      <w:proofErr w:type="spellEnd"/>
      <w:proofErr w:type="gramEnd"/>
      <w:r w:rsidRPr="001E2538">
        <w:rPr>
          <w:rFonts w:asciiTheme="minorHAnsi" w:hAnsiTheme="minorHAnsi" w:cstheme="minorHAnsi"/>
          <w:sz w:val="18"/>
          <w:szCs w:val="18"/>
        </w:rPr>
        <w:t xml:space="preserve"> JUSTICE</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Increasing Judicial Diversity: An Update</w:t>
      </w:r>
      <w:r w:rsidRPr="001E2538">
        <w:rPr>
          <w:rFonts w:asciiTheme="minorHAnsi" w:hAnsiTheme="minorHAnsi" w:cstheme="minorHAnsi"/>
          <w:sz w:val="18"/>
          <w:szCs w:val="18"/>
        </w:rPr>
        <w:t xml:space="preserve"> January 2020;</w:t>
      </w:r>
      <w:r w:rsidR="00EE5C67" w:rsidRPr="001E2538">
        <w:rPr>
          <w:rFonts w:asciiTheme="minorHAnsi" w:hAnsiTheme="minorHAnsi" w:cstheme="minorHAnsi"/>
          <w:sz w:val="18"/>
          <w:szCs w:val="18"/>
        </w:rPr>
        <w:t xml:space="preserve"> Richard Ekins and Graham Gee</w:t>
      </w:r>
      <w:r w:rsidR="004F7A5E" w:rsidRPr="001E2538">
        <w:rPr>
          <w:rFonts w:asciiTheme="minorHAnsi" w:hAnsiTheme="minorHAnsi" w:cstheme="minorHAnsi"/>
          <w:sz w:val="18"/>
          <w:szCs w:val="18"/>
        </w:rPr>
        <w:t>,</w:t>
      </w:r>
      <w:r w:rsidR="00EE5C67" w:rsidRPr="001E2538">
        <w:rPr>
          <w:rFonts w:asciiTheme="minorHAnsi" w:hAnsiTheme="minorHAnsi" w:cstheme="minorHAnsi"/>
          <w:sz w:val="18"/>
          <w:szCs w:val="18"/>
        </w:rPr>
        <w:t xml:space="preserve"> </w:t>
      </w:r>
      <w:r w:rsidR="00EE5C67" w:rsidRPr="001E2538">
        <w:rPr>
          <w:rFonts w:asciiTheme="minorHAnsi" w:hAnsiTheme="minorHAnsi" w:cstheme="minorHAnsi"/>
          <w:i/>
          <w:iCs/>
          <w:sz w:val="18"/>
          <w:szCs w:val="18"/>
        </w:rPr>
        <w:t>Reforming the Lord Chancellor’s Role in Senior Judicial Appointments</w:t>
      </w:r>
      <w:r w:rsidR="00EE5C67" w:rsidRPr="001E2538">
        <w:rPr>
          <w:rFonts w:asciiTheme="minorHAnsi" w:hAnsiTheme="minorHAnsi" w:cstheme="minorHAnsi"/>
          <w:sz w:val="18"/>
          <w:szCs w:val="18"/>
        </w:rPr>
        <w:t xml:space="preserve"> Policy Exchange 2021;</w:t>
      </w:r>
      <w:r w:rsidR="00943DF2" w:rsidRPr="001E2538">
        <w:rPr>
          <w:rFonts w:asciiTheme="minorHAnsi" w:hAnsiTheme="minorHAnsi" w:cstheme="minorHAnsi"/>
          <w:sz w:val="18"/>
          <w:szCs w:val="18"/>
        </w:rPr>
        <w:t xml:space="preserve"> Bar Council</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00943DF2" w:rsidRPr="001E2538">
        <w:rPr>
          <w:rFonts w:asciiTheme="minorHAnsi" w:hAnsiTheme="minorHAnsi" w:cstheme="minorHAnsi"/>
          <w:sz w:val="18"/>
          <w:szCs w:val="18"/>
        </w:rPr>
        <w:t>‘</w:t>
      </w:r>
      <w:r w:rsidRPr="001E2538">
        <w:rPr>
          <w:rFonts w:asciiTheme="minorHAnsi" w:hAnsiTheme="minorHAnsi" w:cstheme="minorHAnsi"/>
          <w:sz w:val="18"/>
          <w:szCs w:val="18"/>
        </w:rPr>
        <w:t>Worrying pattern on judicial diversity shows more action is needed, says Bar Council</w:t>
      </w:r>
      <w:r w:rsidR="00943DF2" w:rsidRPr="001E2538">
        <w:rPr>
          <w:rFonts w:asciiTheme="minorHAnsi" w:hAnsiTheme="minorHAnsi" w:cstheme="minorHAnsi"/>
          <w:sz w:val="18"/>
          <w:szCs w:val="18"/>
        </w:rPr>
        <w:t>’</w:t>
      </w:r>
      <w:r w:rsidR="006F7509" w:rsidRPr="001E2538">
        <w:rPr>
          <w:rFonts w:asciiTheme="minorHAnsi" w:hAnsiTheme="minorHAnsi" w:cstheme="minorHAnsi"/>
          <w:sz w:val="18"/>
          <w:szCs w:val="18"/>
        </w:rPr>
        <w:t xml:space="preserve"> </w:t>
      </w:r>
      <w:r w:rsidRPr="001E2538">
        <w:rPr>
          <w:rFonts w:asciiTheme="minorHAnsi" w:hAnsiTheme="minorHAnsi" w:cstheme="minorHAnsi"/>
          <w:sz w:val="18"/>
          <w:szCs w:val="18"/>
        </w:rPr>
        <w:t>14 July 2022; Law Society</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‘Judicial appointments process locks out diversity undermining public trust’ 30 March 2022</w:t>
      </w:r>
      <w:r w:rsidR="00EE5C67" w:rsidRPr="001E2538">
        <w:rPr>
          <w:rFonts w:asciiTheme="minorHAnsi" w:hAnsiTheme="minorHAnsi" w:cstheme="minorHAnsi"/>
          <w:sz w:val="18"/>
          <w:szCs w:val="18"/>
        </w:rPr>
        <w:t>.</w:t>
      </w:r>
    </w:p>
  </w:footnote>
  <w:footnote w:id="35">
    <w:p w14:paraId="1DF78DC4" w14:textId="1C09797E" w:rsidR="0023179F" w:rsidRPr="001E2538" w:rsidRDefault="0023179F"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Since January 2020, judicial diversity has been raised</w:t>
      </w:r>
      <w:r w:rsidR="001568A3">
        <w:rPr>
          <w:rFonts w:asciiTheme="minorHAnsi" w:hAnsiTheme="minorHAnsi" w:cstheme="minorHAnsi"/>
          <w:sz w:val="18"/>
          <w:szCs w:val="18"/>
        </w:rPr>
        <w:t xml:space="preserve"> in parliament on 12 occasions</w:t>
      </w:r>
      <w:r w:rsidR="0030064C" w:rsidRPr="001E2538">
        <w:rPr>
          <w:rFonts w:asciiTheme="minorHAnsi" w:hAnsiTheme="minorHAnsi" w:cstheme="minorHAnsi"/>
          <w:sz w:val="18"/>
          <w:szCs w:val="18"/>
        </w:rPr>
        <w:t xml:space="preserve"> by MPs from the Conservative</w:t>
      </w:r>
      <w:r w:rsidR="001568A3">
        <w:rPr>
          <w:rFonts w:asciiTheme="minorHAnsi" w:hAnsiTheme="minorHAnsi" w:cstheme="minorHAnsi"/>
          <w:sz w:val="18"/>
          <w:szCs w:val="18"/>
        </w:rPr>
        <w:t xml:space="preserve"> and </w:t>
      </w:r>
      <w:r w:rsidR="0030064C" w:rsidRPr="001E2538">
        <w:rPr>
          <w:rFonts w:asciiTheme="minorHAnsi" w:hAnsiTheme="minorHAnsi" w:cstheme="minorHAnsi"/>
          <w:sz w:val="18"/>
          <w:szCs w:val="18"/>
        </w:rPr>
        <w:t>Labour Parties and Conservative, Labour, Liberal-Democrat and Crossbench peers</w:t>
      </w:r>
      <w:r w:rsidR="001568A3">
        <w:rPr>
          <w:rFonts w:asciiTheme="minorHAnsi" w:hAnsiTheme="minorHAnsi" w:cstheme="minorHAnsi"/>
          <w:sz w:val="18"/>
          <w:szCs w:val="18"/>
        </w:rPr>
        <w:t xml:space="preserve">. This </w:t>
      </w:r>
      <w:r w:rsidRPr="001E2538">
        <w:rPr>
          <w:rFonts w:asciiTheme="minorHAnsi" w:hAnsiTheme="minorHAnsi" w:cstheme="minorHAnsi"/>
          <w:sz w:val="18"/>
          <w:szCs w:val="18"/>
        </w:rPr>
        <w:t>compare</w:t>
      </w:r>
      <w:r w:rsidR="001568A3">
        <w:rPr>
          <w:rFonts w:asciiTheme="minorHAnsi" w:hAnsiTheme="minorHAnsi" w:cstheme="minorHAnsi"/>
          <w:sz w:val="18"/>
          <w:szCs w:val="18"/>
        </w:rPr>
        <w:t>s</w:t>
      </w:r>
      <w:r w:rsidRPr="001E2538">
        <w:rPr>
          <w:rFonts w:asciiTheme="minorHAnsi" w:hAnsiTheme="minorHAnsi" w:cstheme="minorHAnsi"/>
          <w:sz w:val="18"/>
          <w:szCs w:val="18"/>
        </w:rPr>
        <w:t xml:space="preserve"> to just 4 times in the five years prior to this</w:t>
      </w:r>
      <w:r w:rsidR="0030064C"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p>
  </w:footnote>
  <w:footnote w:id="36">
    <w:p w14:paraId="7162915D" w14:textId="136570D4" w:rsidR="00841263" w:rsidRPr="001E2538" w:rsidRDefault="00841263"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23179F" w:rsidRPr="001E2538">
        <w:rPr>
          <w:rFonts w:asciiTheme="minorHAnsi" w:hAnsiTheme="minorHAnsi" w:cstheme="minorHAnsi"/>
          <w:sz w:val="18"/>
          <w:szCs w:val="18"/>
        </w:rPr>
        <w:t>Neil Rose</w:t>
      </w:r>
      <w:r w:rsidR="004F7A5E" w:rsidRPr="001E2538">
        <w:rPr>
          <w:rFonts w:asciiTheme="minorHAnsi" w:hAnsiTheme="minorHAnsi" w:cstheme="minorHAnsi"/>
          <w:sz w:val="18"/>
          <w:szCs w:val="18"/>
        </w:rPr>
        <w:t>,</w:t>
      </w:r>
      <w:r w:rsidR="0023179F" w:rsidRPr="001E2538">
        <w:rPr>
          <w:rFonts w:asciiTheme="minorHAnsi" w:hAnsiTheme="minorHAnsi" w:cstheme="minorHAnsi"/>
          <w:sz w:val="18"/>
          <w:szCs w:val="18"/>
        </w:rPr>
        <w:t xml:space="preserve"> </w:t>
      </w:r>
      <w:r w:rsidR="006F7509" w:rsidRPr="001E2538">
        <w:rPr>
          <w:rFonts w:asciiTheme="minorHAnsi" w:hAnsiTheme="minorHAnsi" w:cstheme="minorHAnsi"/>
          <w:sz w:val="18"/>
          <w:szCs w:val="18"/>
        </w:rPr>
        <w:t>‘</w:t>
      </w:r>
      <w:r w:rsidR="0023179F" w:rsidRPr="001E2538">
        <w:rPr>
          <w:rFonts w:asciiTheme="minorHAnsi" w:hAnsiTheme="minorHAnsi" w:cstheme="minorHAnsi"/>
          <w:sz w:val="18"/>
          <w:szCs w:val="18"/>
        </w:rPr>
        <w:t>Lammy hits out at “absolute scandal” of judicial diversit</w:t>
      </w:r>
      <w:r w:rsidR="006F7509" w:rsidRPr="001E2538">
        <w:rPr>
          <w:rFonts w:asciiTheme="minorHAnsi" w:hAnsiTheme="minorHAnsi" w:cstheme="minorHAnsi"/>
          <w:sz w:val="18"/>
          <w:szCs w:val="18"/>
        </w:rPr>
        <w:t>y’</w:t>
      </w:r>
      <w:r w:rsidR="0023179F" w:rsidRPr="001E2538">
        <w:rPr>
          <w:rFonts w:asciiTheme="minorHAnsi" w:hAnsiTheme="minorHAnsi" w:cstheme="minorHAnsi"/>
          <w:sz w:val="18"/>
          <w:szCs w:val="18"/>
        </w:rPr>
        <w:t xml:space="preserve"> </w:t>
      </w:r>
      <w:r w:rsidR="0023179F" w:rsidRPr="001E2538">
        <w:rPr>
          <w:rFonts w:asciiTheme="minorHAnsi" w:hAnsiTheme="minorHAnsi" w:cstheme="minorHAnsi"/>
          <w:i/>
          <w:iCs/>
          <w:sz w:val="18"/>
          <w:szCs w:val="18"/>
        </w:rPr>
        <w:t>Legal Futures</w:t>
      </w:r>
      <w:r w:rsidR="0023179F" w:rsidRPr="001E2538">
        <w:rPr>
          <w:rFonts w:asciiTheme="minorHAnsi" w:hAnsiTheme="minorHAnsi" w:cstheme="minorHAnsi"/>
          <w:sz w:val="18"/>
          <w:szCs w:val="18"/>
        </w:rPr>
        <w:t xml:space="preserve"> 16 July 2021; </w:t>
      </w:r>
      <w:r w:rsidR="005F75B4" w:rsidRPr="001E2538">
        <w:rPr>
          <w:rFonts w:asciiTheme="minorHAnsi" w:hAnsiTheme="minorHAnsi" w:cstheme="minorHAnsi"/>
          <w:sz w:val="18"/>
          <w:szCs w:val="18"/>
        </w:rPr>
        <w:t xml:space="preserve">Dan Bindman ‘Lammy: 'Tap on the shoulder' better for judicial diversity than JAC’ </w:t>
      </w:r>
      <w:r w:rsidR="005F75B4" w:rsidRPr="001E2538">
        <w:rPr>
          <w:rFonts w:asciiTheme="minorHAnsi" w:hAnsiTheme="minorHAnsi" w:cstheme="minorHAnsi"/>
          <w:i/>
          <w:iCs/>
          <w:sz w:val="18"/>
          <w:szCs w:val="18"/>
        </w:rPr>
        <w:t>Legal Futures</w:t>
      </w:r>
      <w:r w:rsidR="005F75B4" w:rsidRPr="001E2538">
        <w:rPr>
          <w:rFonts w:asciiTheme="minorHAnsi" w:hAnsiTheme="minorHAnsi" w:cstheme="minorHAnsi"/>
          <w:sz w:val="18"/>
          <w:szCs w:val="18"/>
        </w:rPr>
        <w:t xml:space="preserve"> 21 September 2021.</w:t>
      </w:r>
    </w:p>
  </w:footnote>
  <w:footnote w:id="37">
    <w:p w14:paraId="30F95944" w14:textId="1096436F" w:rsidR="00211A38" w:rsidRPr="001E2538" w:rsidRDefault="00211A38"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House of Commons Justice Committee, Oral evidence: Pre-appointment hearing: Chair of</w:t>
      </w:r>
      <w:r w:rsidR="006F7509" w:rsidRPr="001E2538">
        <w:rPr>
          <w:rFonts w:asciiTheme="minorHAnsi" w:hAnsiTheme="minorHAnsi" w:cstheme="minorHAnsi"/>
          <w:sz w:val="18"/>
          <w:szCs w:val="18"/>
        </w:rPr>
        <w:t xml:space="preserve"> </w:t>
      </w:r>
      <w:r w:rsidRPr="001E2538">
        <w:rPr>
          <w:rFonts w:asciiTheme="minorHAnsi" w:hAnsiTheme="minorHAnsi" w:cstheme="minorHAnsi"/>
          <w:sz w:val="18"/>
          <w:szCs w:val="18"/>
        </w:rPr>
        <w:t>the Judicial Appointments Commission, HC 925</w:t>
      </w:r>
      <w:r w:rsidR="0030064C" w:rsidRPr="001E2538">
        <w:rPr>
          <w:rFonts w:asciiTheme="minorHAnsi" w:hAnsiTheme="minorHAnsi" w:cstheme="minorHAnsi"/>
          <w:sz w:val="18"/>
          <w:szCs w:val="18"/>
        </w:rPr>
        <w:t xml:space="preserve">, </w:t>
      </w:r>
      <w:r w:rsidRPr="001E2538">
        <w:rPr>
          <w:rFonts w:asciiTheme="minorHAnsi" w:hAnsiTheme="minorHAnsi" w:cstheme="minorHAnsi"/>
          <w:sz w:val="18"/>
          <w:szCs w:val="18"/>
        </w:rPr>
        <w:t>Q29</w:t>
      </w:r>
      <w:r w:rsidR="00917773">
        <w:rPr>
          <w:rFonts w:asciiTheme="minorHAnsi" w:hAnsiTheme="minorHAnsi" w:cstheme="minorHAnsi"/>
          <w:sz w:val="18"/>
          <w:szCs w:val="18"/>
        </w:rPr>
        <w:t xml:space="preserve"> (</w:t>
      </w:r>
      <w:r w:rsidR="00917773" w:rsidRPr="001E2538">
        <w:rPr>
          <w:rFonts w:asciiTheme="minorHAnsi" w:hAnsiTheme="minorHAnsi" w:cstheme="minorHAnsi"/>
          <w:sz w:val="18"/>
          <w:szCs w:val="18"/>
        </w:rPr>
        <w:t>6 December 2022</w:t>
      </w:r>
      <w:r w:rsidR="00917773">
        <w:rPr>
          <w:rFonts w:asciiTheme="minorHAnsi" w:hAnsiTheme="minorHAnsi" w:cstheme="minorHAnsi"/>
          <w:sz w:val="18"/>
          <w:szCs w:val="18"/>
        </w:rPr>
        <w:t>)</w:t>
      </w:r>
      <w:r w:rsidR="006F7509" w:rsidRPr="001E2538">
        <w:rPr>
          <w:rFonts w:asciiTheme="minorHAnsi" w:hAnsiTheme="minorHAnsi" w:cstheme="minorHAnsi"/>
          <w:sz w:val="18"/>
          <w:szCs w:val="18"/>
        </w:rPr>
        <w:t>.</w:t>
      </w:r>
    </w:p>
  </w:footnote>
  <w:footnote w:id="38">
    <w:p w14:paraId="7B5590A8" w14:textId="72831C1A" w:rsidR="005F75B4" w:rsidRPr="001E2538" w:rsidRDefault="005F75B4"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Robert </w:t>
      </w:r>
      <w:proofErr w:type="spellStart"/>
      <w:r w:rsidRPr="001E2538">
        <w:rPr>
          <w:rFonts w:asciiTheme="minorHAnsi" w:hAnsiTheme="minorHAnsi" w:cstheme="minorHAnsi"/>
          <w:sz w:val="18"/>
          <w:szCs w:val="18"/>
        </w:rPr>
        <w:t>Verkaik</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‘Law Society to boycott secret selection of judges’ </w:t>
      </w:r>
      <w:r w:rsidRPr="001E2538">
        <w:rPr>
          <w:rFonts w:asciiTheme="minorHAnsi" w:hAnsiTheme="minorHAnsi" w:cstheme="minorHAnsi"/>
          <w:i/>
          <w:iCs/>
          <w:sz w:val="18"/>
          <w:szCs w:val="18"/>
        </w:rPr>
        <w:t>The Independent</w:t>
      </w:r>
      <w:r w:rsidRPr="001E2538">
        <w:rPr>
          <w:rFonts w:asciiTheme="minorHAnsi" w:hAnsiTheme="minorHAnsi" w:cstheme="minorHAnsi"/>
          <w:sz w:val="18"/>
          <w:szCs w:val="18"/>
        </w:rPr>
        <w:t xml:space="preserve"> 28 September 1999; Law Society n </w:t>
      </w:r>
      <w:r w:rsidR="003738E5" w:rsidRPr="001E2538">
        <w:rPr>
          <w:rFonts w:asciiTheme="minorHAnsi" w:hAnsiTheme="minorHAnsi" w:cstheme="minorHAnsi"/>
          <w:sz w:val="18"/>
          <w:szCs w:val="18"/>
        </w:rPr>
        <w:t>3</w:t>
      </w:r>
      <w:r w:rsidR="001568A3">
        <w:rPr>
          <w:rFonts w:asciiTheme="minorHAnsi" w:hAnsiTheme="minorHAnsi" w:cstheme="minorHAnsi"/>
          <w:sz w:val="18"/>
          <w:szCs w:val="18"/>
        </w:rPr>
        <w:t>3</w:t>
      </w:r>
      <w:r w:rsidRPr="001E2538">
        <w:rPr>
          <w:rFonts w:asciiTheme="minorHAnsi" w:hAnsiTheme="minorHAnsi" w:cstheme="minorHAnsi"/>
          <w:sz w:val="18"/>
          <w:szCs w:val="18"/>
        </w:rPr>
        <w:t>; Law Society ‘Diversity in the judiciary: statutory consultation’ 28 June 2022.</w:t>
      </w:r>
    </w:p>
  </w:footnote>
  <w:footnote w:id="39">
    <w:p w14:paraId="3C6546EA" w14:textId="42DC5667" w:rsidR="00397606" w:rsidRPr="001E2538" w:rsidRDefault="0039760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6F7509" w:rsidRPr="001E2538">
        <w:rPr>
          <w:rFonts w:asciiTheme="minorHAnsi" w:hAnsiTheme="minorHAnsi" w:cstheme="minorHAnsi"/>
          <w:sz w:val="18"/>
          <w:szCs w:val="18"/>
        </w:rPr>
        <w:t>Hansard Society</w:t>
      </w:r>
      <w:r w:rsidR="004F7A5E" w:rsidRPr="001E2538">
        <w:rPr>
          <w:rFonts w:asciiTheme="minorHAnsi" w:hAnsiTheme="minorHAnsi" w:cstheme="minorHAnsi"/>
          <w:sz w:val="18"/>
          <w:szCs w:val="18"/>
        </w:rPr>
        <w:t>,</w:t>
      </w:r>
      <w:r w:rsidR="006F7509"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The Report of the Hansard Society Commission on Women at the Top</w:t>
      </w:r>
      <w:r w:rsidRPr="001E2538">
        <w:rPr>
          <w:rFonts w:asciiTheme="minorHAnsi" w:hAnsiTheme="minorHAnsi" w:cstheme="minorHAnsi"/>
          <w:sz w:val="18"/>
          <w:szCs w:val="18"/>
        </w:rPr>
        <w:t xml:space="preserve"> 1990; </w:t>
      </w:r>
      <w:proofErr w:type="spellStart"/>
      <w:r w:rsidRPr="001E2538">
        <w:rPr>
          <w:rFonts w:asciiTheme="minorHAnsi" w:hAnsiTheme="minorHAnsi" w:cstheme="minorHAnsi"/>
          <w:sz w:val="18"/>
          <w:szCs w:val="18"/>
        </w:rPr>
        <w:t>Monidipa</w:t>
      </w:r>
      <w:proofErr w:type="spellEnd"/>
      <w:r w:rsidRPr="001E2538">
        <w:rPr>
          <w:rFonts w:asciiTheme="minorHAnsi" w:hAnsiTheme="minorHAnsi" w:cstheme="minorHAnsi"/>
          <w:sz w:val="18"/>
          <w:szCs w:val="18"/>
        </w:rPr>
        <w:t xml:space="preserve"> </w:t>
      </w:r>
      <w:proofErr w:type="spellStart"/>
      <w:r w:rsidRPr="001E2538">
        <w:rPr>
          <w:rFonts w:asciiTheme="minorHAnsi" w:hAnsiTheme="minorHAnsi" w:cstheme="minorHAnsi"/>
          <w:sz w:val="18"/>
          <w:szCs w:val="18"/>
        </w:rPr>
        <w:t>Fouzder</w:t>
      </w:r>
      <w:proofErr w:type="spellEnd"/>
      <w:r w:rsidRPr="001E2538">
        <w:rPr>
          <w:rFonts w:asciiTheme="minorHAnsi" w:hAnsiTheme="minorHAnsi" w:cstheme="minorHAnsi"/>
          <w:sz w:val="18"/>
          <w:szCs w:val="18"/>
        </w:rPr>
        <w:t xml:space="preserve"> ‘Labour conference: quotas needed to improve judicial diversity’ </w:t>
      </w:r>
      <w:r w:rsidRPr="001E2538">
        <w:rPr>
          <w:rFonts w:asciiTheme="minorHAnsi" w:hAnsiTheme="minorHAnsi" w:cstheme="minorHAnsi"/>
          <w:i/>
          <w:iCs/>
          <w:sz w:val="18"/>
          <w:szCs w:val="18"/>
        </w:rPr>
        <w:t xml:space="preserve">Law Society Gazette </w:t>
      </w:r>
      <w:r w:rsidRPr="001E2538">
        <w:rPr>
          <w:rFonts w:asciiTheme="minorHAnsi" w:hAnsiTheme="minorHAnsi" w:cstheme="minorHAnsi"/>
          <w:sz w:val="18"/>
          <w:szCs w:val="18"/>
        </w:rPr>
        <w:t>25 September 2019.</w:t>
      </w:r>
    </w:p>
  </w:footnote>
  <w:footnote w:id="40">
    <w:p w14:paraId="4B7B30B9" w14:textId="0B795854" w:rsidR="00397606" w:rsidRPr="001E2538" w:rsidRDefault="0039760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91741D" w:rsidRPr="001E2538">
        <w:rPr>
          <w:rFonts w:asciiTheme="minorHAnsi" w:hAnsiTheme="minorHAnsi" w:cstheme="minorHAnsi"/>
          <w:sz w:val="18"/>
          <w:szCs w:val="18"/>
        </w:rPr>
        <w:t>Helena Kennedy</w:t>
      </w:r>
      <w:r w:rsidR="004F7A5E" w:rsidRPr="001E2538">
        <w:rPr>
          <w:rFonts w:asciiTheme="minorHAnsi" w:hAnsiTheme="minorHAnsi" w:cstheme="minorHAnsi"/>
          <w:sz w:val="18"/>
          <w:szCs w:val="18"/>
        </w:rPr>
        <w:t>,</w:t>
      </w:r>
      <w:r w:rsidR="0091741D" w:rsidRPr="001E2538">
        <w:rPr>
          <w:rFonts w:asciiTheme="minorHAnsi" w:hAnsiTheme="minorHAnsi" w:cstheme="minorHAnsi"/>
          <w:sz w:val="18"/>
          <w:szCs w:val="18"/>
        </w:rPr>
        <w:t xml:space="preserve"> </w:t>
      </w:r>
      <w:r w:rsidR="0091741D" w:rsidRPr="001E2538">
        <w:rPr>
          <w:rFonts w:asciiTheme="minorHAnsi" w:hAnsiTheme="minorHAnsi" w:cstheme="minorHAnsi"/>
          <w:i/>
          <w:iCs/>
          <w:sz w:val="18"/>
          <w:szCs w:val="18"/>
        </w:rPr>
        <w:t>Eve was Framed</w:t>
      </w:r>
      <w:r w:rsidR="00D4616C" w:rsidRPr="001E2538">
        <w:rPr>
          <w:rFonts w:asciiTheme="minorHAnsi" w:hAnsiTheme="minorHAnsi" w:cstheme="minorHAnsi"/>
          <w:i/>
          <w:iCs/>
          <w:sz w:val="18"/>
          <w:szCs w:val="18"/>
        </w:rPr>
        <w:t xml:space="preserve">: Women and British Justice </w:t>
      </w:r>
      <w:r w:rsidR="00D4616C" w:rsidRPr="001E2538">
        <w:rPr>
          <w:rFonts w:asciiTheme="minorHAnsi" w:hAnsiTheme="minorHAnsi" w:cstheme="minorHAnsi"/>
          <w:sz w:val="18"/>
          <w:szCs w:val="18"/>
        </w:rPr>
        <w:t xml:space="preserve">(Chatto &amp; </w:t>
      </w:r>
      <w:proofErr w:type="spellStart"/>
      <w:r w:rsidR="00D4616C" w:rsidRPr="001E2538">
        <w:rPr>
          <w:rFonts w:asciiTheme="minorHAnsi" w:hAnsiTheme="minorHAnsi" w:cstheme="minorHAnsi"/>
          <w:sz w:val="18"/>
          <w:szCs w:val="18"/>
        </w:rPr>
        <w:t>Windus</w:t>
      </w:r>
      <w:proofErr w:type="spellEnd"/>
      <w:r w:rsidR="00D4616C" w:rsidRPr="001E2538">
        <w:rPr>
          <w:rFonts w:asciiTheme="minorHAnsi" w:hAnsiTheme="minorHAnsi" w:cstheme="minorHAnsi"/>
          <w:sz w:val="18"/>
          <w:szCs w:val="18"/>
        </w:rPr>
        <w:t xml:space="preserve"> Ltd 1992)</w:t>
      </w:r>
      <w:r w:rsidR="0091741D" w:rsidRPr="001E2538">
        <w:rPr>
          <w:rFonts w:asciiTheme="minorHAnsi" w:hAnsiTheme="minorHAnsi" w:cstheme="minorHAnsi"/>
          <w:i/>
          <w:iCs/>
          <w:sz w:val="18"/>
          <w:szCs w:val="18"/>
        </w:rPr>
        <w:t xml:space="preserve"> </w:t>
      </w:r>
      <w:r w:rsidR="00D4616C" w:rsidRPr="001E2538">
        <w:rPr>
          <w:rFonts w:asciiTheme="minorHAnsi" w:hAnsiTheme="minorHAnsi" w:cstheme="minorHAnsi"/>
          <w:sz w:val="18"/>
          <w:szCs w:val="18"/>
        </w:rPr>
        <w:t>267</w:t>
      </w:r>
      <w:r w:rsidRPr="001E2538">
        <w:rPr>
          <w:rFonts w:asciiTheme="minorHAnsi" w:hAnsiTheme="minorHAnsi" w:cstheme="minorHAnsi"/>
          <w:sz w:val="18"/>
          <w:szCs w:val="18"/>
        </w:rPr>
        <w:t xml:space="preserve">; </w:t>
      </w:r>
      <w:proofErr w:type="spellStart"/>
      <w:r w:rsidR="00943DF2" w:rsidRPr="001E2538">
        <w:rPr>
          <w:rFonts w:asciiTheme="minorHAnsi" w:hAnsiTheme="minorHAnsi" w:cstheme="minorHAnsi"/>
          <w:sz w:val="18"/>
          <w:szCs w:val="18"/>
          <w:shd w:val="clear" w:color="auto" w:fill="FFFFFF"/>
        </w:rPr>
        <w:t>Baksi</w:t>
      </w:r>
      <w:proofErr w:type="spellEnd"/>
      <w:r w:rsidR="00943DF2" w:rsidRPr="001E2538">
        <w:rPr>
          <w:rFonts w:asciiTheme="minorHAnsi" w:hAnsiTheme="minorHAnsi" w:cstheme="minorHAnsi"/>
          <w:sz w:val="18"/>
          <w:szCs w:val="18"/>
        </w:rPr>
        <w:t xml:space="preserve"> n</w:t>
      </w:r>
      <w:r w:rsidR="003738E5" w:rsidRPr="001E2538">
        <w:rPr>
          <w:rFonts w:asciiTheme="minorHAnsi" w:hAnsiTheme="minorHAnsi" w:cstheme="minorHAnsi"/>
          <w:sz w:val="18"/>
          <w:szCs w:val="18"/>
        </w:rPr>
        <w:t xml:space="preserve"> 2</w:t>
      </w:r>
      <w:r w:rsidR="001568A3">
        <w:rPr>
          <w:rFonts w:asciiTheme="minorHAnsi" w:hAnsiTheme="minorHAnsi" w:cstheme="minorHAnsi"/>
          <w:sz w:val="18"/>
          <w:szCs w:val="18"/>
        </w:rPr>
        <w:t>7</w:t>
      </w:r>
      <w:r w:rsidR="00943DF2" w:rsidRPr="001E2538">
        <w:rPr>
          <w:rFonts w:asciiTheme="minorHAnsi" w:hAnsiTheme="minorHAnsi" w:cstheme="minorHAnsi"/>
          <w:sz w:val="18"/>
          <w:szCs w:val="18"/>
        </w:rPr>
        <w:t>.</w:t>
      </w:r>
    </w:p>
  </w:footnote>
  <w:footnote w:id="41">
    <w:p w14:paraId="7B3C2F48" w14:textId="208724DF" w:rsidR="00D71AE7" w:rsidRPr="001E2538" w:rsidRDefault="00D71AE7"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1568A3">
        <w:rPr>
          <w:rFonts w:asciiTheme="minorHAnsi" w:hAnsiTheme="minorHAnsi" w:cstheme="minorHAnsi"/>
          <w:sz w:val="18"/>
          <w:szCs w:val="18"/>
        </w:rPr>
        <w:t xml:space="preserve">Hansard, </w:t>
      </w:r>
      <w:r w:rsidRPr="001E2538">
        <w:rPr>
          <w:rFonts w:asciiTheme="minorHAnsi" w:hAnsiTheme="minorHAnsi" w:cstheme="minorHAnsi"/>
          <w:sz w:val="18"/>
          <w:szCs w:val="18"/>
        </w:rPr>
        <w:t>‘Judges’ HC Deb, vol 164 col 665-666</w:t>
      </w:r>
      <w:r w:rsidR="00917773">
        <w:rPr>
          <w:rFonts w:asciiTheme="minorHAnsi" w:hAnsiTheme="minorHAnsi" w:cstheme="minorHAnsi"/>
          <w:sz w:val="18"/>
          <w:szCs w:val="18"/>
        </w:rPr>
        <w:t xml:space="preserve"> (</w:t>
      </w:r>
      <w:r w:rsidR="00917773" w:rsidRPr="001E2538">
        <w:rPr>
          <w:rFonts w:asciiTheme="minorHAnsi" w:hAnsiTheme="minorHAnsi" w:cstheme="minorHAnsi"/>
          <w:sz w:val="18"/>
          <w:szCs w:val="18"/>
        </w:rPr>
        <w:t>21 December 1989</w:t>
      </w:r>
      <w:r w:rsidR="00917773">
        <w:rPr>
          <w:rFonts w:asciiTheme="minorHAnsi" w:hAnsiTheme="minorHAnsi" w:cstheme="minorHAnsi"/>
          <w:sz w:val="18"/>
          <w:szCs w:val="18"/>
        </w:rPr>
        <w:t>)</w:t>
      </w:r>
      <w:r w:rsidRPr="001E2538">
        <w:rPr>
          <w:rFonts w:asciiTheme="minorHAnsi" w:hAnsiTheme="minorHAnsi" w:cstheme="minorHAnsi"/>
          <w:sz w:val="18"/>
          <w:szCs w:val="18"/>
        </w:rPr>
        <w:t>.</w:t>
      </w:r>
    </w:p>
  </w:footnote>
  <w:footnote w:id="42">
    <w:p w14:paraId="7A2DA73E" w14:textId="03A9C18C" w:rsidR="00397606" w:rsidRPr="001E2538" w:rsidRDefault="0039760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943DF2" w:rsidRPr="001E2538">
        <w:rPr>
          <w:rFonts w:asciiTheme="minorHAnsi" w:hAnsiTheme="minorHAnsi" w:cstheme="minorHAnsi"/>
          <w:sz w:val="18"/>
          <w:szCs w:val="18"/>
        </w:rPr>
        <w:tab/>
      </w:r>
      <w:r w:rsidR="00D71AE7" w:rsidRPr="001E2538">
        <w:rPr>
          <w:rFonts w:asciiTheme="minorHAnsi" w:hAnsiTheme="minorHAnsi" w:cstheme="minorHAnsi"/>
          <w:sz w:val="18"/>
          <w:szCs w:val="18"/>
        </w:rPr>
        <w:t>In which, by way of example, 95% of legal professionals who responded said that racial bias plays ‘some role in the processes and/or outcomes of the justice system’. The report’s first recommendation is that the LCJ and leadership judges should ‘acknowledge institutional racism in the justice system’. (Monteith</w:t>
      </w:r>
      <w:r w:rsidR="004F7A5E" w:rsidRPr="001E2538">
        <w:rPr>
          <w:rFonts w:asciiTheme="minorHAnsi" w:hAnsiTheme="minorHAnsi" w:cstheme="minorHAnsi"/>
          <w:sz w:val="18"/>
          <w:szCs w:val="18"/>
        </w:rPr>
        <w:t>,</w:t>
      </w:r>
      <w:r w:rsidR="00D71AE7" w:rsidRPr="001E2538">
        <w:rPr>
          <w:rFonts w:asciiTheme="minorHAnsi" w:hAnsiTheme="minorHAnsi" w:cstheme="minorHAnsi"/>
          <w:sz w:val="18"/>
          <w:szCs w:val="18"/>
        </w:rPr>
        <w:t xml:space="preserve"> n </w:t>
      </w:r>
      <w:r w:rsidR="003738E5" w:rsidRPr="001E2538">
        <w:rPr>
          <w:rFonts w:asciiTheme="minorHAnsi" w:hAnsiTheme="minorHAnsi" w:cstheme="minorHAnsi"/>
          <w:sz w:val="18"/>
          <w:szCs w:val="18"/>
        </w:rPr>
        <w:t>2</w:t>
      </w:r>
      <w:r w:rsidR="001568A3">
        <w:rPr>
          <w:rFonts w:asciiTheme="minorHAnsi" w:hAnsiTheme="minorHAnsi" w:cstheme="minorHAnsi"/>
          <w:sz w:val="18"/>
          <w:szCs w:val="18"/>
        </w:rPr>
        <w:t>7</w:t>
      </w:r>
      <w:r w:rsidR="003738E5" w:rsidRPr="001E2538">
        <w:rPr>
          <w:rFonts w:asciiTheme="minorHAnsi" w:hAnsiTheme="minorHAnsi" w:cstheme="minorHAnsi"/>
          <w:sz w:val="18"/>
          <w:szCs w:val="18"/>
        </w:rPr>
        <w:t>,</w:t>
      </w:r>
      <w:r w:rsidR="00D71AE7" w:rsidRPr="001E2538">
        <w:rPr>
          <w:rFonts w:asciiTheme="minorHAnsi" w:hAnsiTheme="minorHAnsi" w:cstheme="minorHAnsi"/>
          <w:sz w:val="18"/>
          <w:szCs w:val="18"/>
        </w:rPr>
        <w:t xml:space="preserve"> 6, 7)</w:t>
      </w:r>
    </w:p>
  </w:footnote>
  <w:footnote w:id="43">
    <w:p w14:paraId="15ED07B1" w14:textId="262693FD" w:rsidR="00970B5D" w:rsidRPr="001E2538" w:rsidRDefault="00970B5D">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 Ministry of Justice n 2</w:t>
      </w:r>
      <w:r w:rsidR="001568A3">
        <w:rPr>
          <w:rFonts w:asciiTheme="minorHAnsi" w:hAnsiTheme="minorHAnsi" w:cstheme="minorHAnsi"/>
          <w:sz w:val="18"/>
          <w:szCs w:val="18"/>
        </w:rPr>
        <w:t>8</w:t>
      </w:r>
      <w:r w:rsidRPr="001E2538">
        <w:rPr>
          <w:rFonts w:asciiTheme="minorHAnsi" w:hAnsiTheme="minorHAnsi" w:cstheme="minorHAnsi"/>
          <w:sz w:val="18"/>
          <w:szCs w:val="18"/>
        </w:rPr>
        <w:t>.</w:t>
      </w:r>
    </w:p>
  </w:footnote>
  <w:footnote w:id="44">
    <w:p w14:paraId="5BFC748F" w14:textId="2738C604" w:rsidR="00120914" w:rsidRPr="001E2538" w:rsidRDefault="00120914"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A point noted by Kate </w:t>
      </w:r>
      <w:proofErr w:type="spellStart"/>
      <w:r w:rsidRPr="001E2538">
        <w:rPr>
          <w:rFonts w:asciiTheme="minorHAnsi" w:hAnsiTheme="minorHAnsi" w:cstheme="minorHAnsi"/>
          <w:sz w:val="18"/>
          <w:szCs w:val="18"/>
        </w:rPr>
        <w:t>Malleson</w:t>
      </w:r>
      <w:proofErr w:type="spellEnd"/>
      <w:r w:rsidRPr="001E2538">
        <w:rPr>
          <w:rFonts w:asciiTheme="minorHAnsi" w:hAnsiTheme="minorHAnsi" w:cstheme="minorHAnsi"/>
          <w:sz w:val="18"/>
          <w:szCs w:val="18"/>
        </w:rPr>
        <w:t xml:space="preserve"> </w:t>
      </w:r>
      <w:r w:rsidR="00AC0B70" w:rsidRPr="001E2538">
        <w:rPr>
          <w:rFonts w:asciiTheme="minorHAnsi" w:hAnsiTheme="minorHAnsi" w:cstheme="minorHAnsi"/>
          <w:sz w:val="18"/>
          <w:szCs w:val="18"/>
        </w:rPr>
        <w:t xml:space="preserve">almost 25 </w:t>
      </w:r>
      <w:r w:rsidRPr="001E2538">
        <w:rPr>
          <w:rFonts w:asciiTheme="minorHAnsi" w:hAnsiTheme="minorHAnsi" w:cstheme="minorHAnsi"/>
          <w:sz w:val="18"/>
          <w:szCs w:val="18"/>
        </w:rPr>
        <w:t>years ago</w:t>
      </w:r>
      <w:r w:rsidR="00C31D48" w:rsidRPr="001E2538">
        <w:rPr>
          <w:rFonts w:asciiTheme="minorHAnsi" w:hAnsiTheme="minorHAnsi" w:cstheme="minorHAnsi"/>
          <w:sz w:val="18"/>
          <w:szCs w:val="18"/>
        </w:rPr>
        <w:t xml:space="preserve"> (</w:t>
      </w:r>
      <w:r w:rsidRPr="001E2538">
        <w:rPr>
          <w:rFonts w:asciiTheme="minorHAnsi" w:hAnsiTheme="minorHAnsi" w:cstheme="minorHAnsi"/>
          <w:i/>
          <w:sz w:val="18"/>
          <w:szCs w:val="18"/>
        </w:rPr>
        <w:t xml:space="preserve">The New Judiciary: The effect of expansion and activism </w:t>
      </w:r>
      <w:r w:rsidRPr="001E2538">
        <w:rPr>
          <w:rFonts w:asciiTheme="minorHAnsi" w:hAnsiTheme="minorHAnsi" w:cstheme="minorHAnsi"/>
          <w:sz w:val="18"/>
          <w:szCs w:val="18"/>
        </w:rPr>
        <w:t>(Ashgate 1999) 106</w:t>
      </w:r>
      <w:r w:rsidR="00C31D48"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p>
  </w:footnote>
  <w:footnote w:id="45">
    <w:p w14:paraId="152A6A85" w14:textId="76588AD2" w:rsidR="00120914" w:rsidRPr="001E2538" w:rsidRDefault="00120914"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Gee and Rackley, n </w:t>
      </w:r>
      <w:r w:rsidR="001568A3">
        <w:rPr>
          <w:rFonts w:asciiTheme="minorHAnsi" w:hAnsiTheme="minorHAnsi" w:cstheme="minorHAnsi"/>
          <w:sz w:val="18"/>
          <w:szCs w:val="18"/>
        </w:rPr>
        <w:t>32</w:t>
      </w:r>
      <w:r w:rsidR="003738E5" w:rsidRPr="001E2538">
        <w:rPr>
          <w:rFonts w:asciiTheme="minorHAnsi" w:hAnsiTheme="minorHAnsi" w:cstheme="minorHAnsi"/>
          <w:sz w:val="18"/>
          <w:szCs w:val="18"/>
        </w:rPr>
        <w:t>,</w:t>
      </w:r>
      <w:r w:rsidR="0068063C" w:rsidRPr="001E2538">
        <w:rPr>
          <w:rFonts w:asciiTheme="minorHAnsi" w:hAnsiTheme="minorHAnsi" w:cstheme="minorHAnsi"/>
          <w:sz w:val="18"/>
          <w:szCs w:val="18"/>
        </w:rPr>
        <w:t xml:space="preserve"> </w:t>
      </w:r>
      <w:proofErr w:type="gramStart"/>
      <w:r w:rsidR="0068063C" w:rsidRPr="001E2538">
        <w:rPr>
          <w:rFonts w:asciiTheme="minorHAnsi" w:hAnsiTheme="minorHAnsi" w:cstheme="minorHAnsi"/>
          <w:sz w:val="18"/>
          <w:szCs w:val="18"/>
        </w:rPr>
        <w:t>1</w:t>
      </w:r>
      <w:proofErr w:type="gramEnd"/>
    </w:p>
  </w:footnote>
  <w:footnote w:id="46">
    <w:p w14:paraId="4CD58AAD" w14:textId="050617D6" w:rsidR="00120914" w:rsidRPr="001E2538" w:rsidRDefault="00120914"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For a fuller version of this argument see Erika Rackley and Charlie Webb</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‘Three Models of Judicial Diversity’ in </w:t>
      </w:r>
      <w:r w:rsidR="00F143F7" w:rsidRPr="001E2538">
        <w:rPr>
          <w:rFonts w:asciiTheme="minorHAnsi" w:hAnsiTheme="minorHAnsi" w:cstheme="minorHAnsi"/>
          <w:sz w:val="18"/>
          <w:szCs w:val="18"/>
        </w:rPr>
        <w:t>Graham Gee and Erika Rackley (eds)</w:t>
      </w:r>
      <w:r w:rsidR="00DF4C18" w:rsidRPr="001E2538">
        <w:rPr>
          <w:rFonts w:asciiTheme="minorHAnsi" w:hAnsiTheme="minorHAnsi" w:cstheme="minorHAnsi"/>
          <w:sz w:val="18"/>
          <w:szCs w:val="18"/>
        </w:rPr>
        <w:t>,</w:t>
      </w:r>
      <w:r w:rsidR="00F143F7" w:rsidRPr="001E2538">
        <w:rPr>
          <w:rFonts w:asciiTheme="minorHAnsi" w:hAnsiTheme="minorHAnsi" w:cstheme="minorHAnsi"/>
          <w:i/>
          <w:iCs/>
          <w:sz w:val="18"/>
          <w:szCs w:val="18"/>
        </w:rPr>
        <w:t xml:space="preserve"> Debating Judicial Appointments in an Age of Diversity</w:t>
      </w:r>
      <w:r w:rsidR="00F143F7" w:rsidRPr="001E2538">
        <w:rPr>
          <w:rFonts w:asciiTheme="minorHAnsi" w:hAnsiTheme="minorHAnsi" w:cstheme="minorHAnsi"/>
          <w:sz w:val="18"/>
          <w:szCs w:val="18"/>
        </w:rPr>
        <w:t xml:space="preserve"> (Routledge 2018)</w:t>
      </w:r>
      <w:r w:rsidRPr="001E2538">
        <w:rPr>
          <w:rFonts w:asciiTheme="minorHAnsi" w:hAnsiTheme="minorHAnsi" w:cstheme="minorHAnsi"/>
          <w:sz w:val="18"/>
          <w:szCs w:val="18"/>
        </w:rPr>
        <w:t xml:space="preserve"> 283-298.</w:t>
      </w:r>
    </w:p>
  </w:footnote>
  <w:footnote w:id="47">
    <w:p w14:paraId="6E153BF0" w14:textId="6A99BFEC" w:rsidR="00120914" w:rsidRPr="001E2538" w:rsidRDefault="00120914" w:rsidP="00E723E9">
      <w:pPr>
        <w:adjustRightInd w:val="0"/>
        <w:snapToGrid w:val="0"/>
        <w:rPr>
          <w:rFonts w:cstheme="minorHAnsi"/>
          <w:sz w:val="18"/>
          <w:szCs w:val="18"/>
        </w:rPr>
      </w:pPr>
      <w:r w:rsidRPr="001E2538">
        <w:rPr>
          <w:rStyle w:val="FootnoteReference"/>
          <w:rFonts w:cstheme="minorHAnsi"/>
          <w:sz w:val="18"/>
          <w:szCs w:val="18"/>
        </w:rPr>
        <w:footnoteRef/>
      </w:r>
      <w:r w:rsidRPr="001E2538">
        <w:rPr>
          <w:rFonts w:cstheme="minorHAnsi"/>
          <w:sz w:val="18"/>
          <w:szCs w:val="18"/>
        </w:rPr>
        <w:t xml:space="preserve"> </w:t>
      </w:r>
      <w:r w:rsidR="00DE422C" w:rsidRPr="001E2538">
        <w:rPr>
          <w:rFonts w:cstheme="minorHAnsi"/>
          <w:sz w:val="18"/>
          <w:szCs w:val="18"/>
        </w:rPr>
        <w:tab/>
      </w:r>
      <w:r w:rsidRPr="001E2538">
        <w:rPr>
          <w:rFonts w:cstheme="minorHAnsi"/>
          <w:sz w:val="18"/>
          <w:szCs w:val="18"/>
        </w:rPr>
        <w:t xml:space="preserve">See </w:t>
      </w:r>
      <w:proofErr w:type="spellStart"/>
      <w:r w:rsidRPr="001E2538">
        <w:rPr>
          <w:rFonts w:cstheme="minorHAnsi"/>
          <w:sz w:val="18"/>
          <w:szCs w:val="18"/>
        </w:rPr>
        <w:t>eg</w:t>
      </w:r>
      <w:proofErr w:type="spellEnd"/>
      <w:r w:rsidRPr="001E2538">
        <w:rPr>
          <w:rFonts w:cstheme="minorHAnsi"/>
          <w:sz w:val="18"/>
          <w:szCs w:val="18"/>
        </w:rPr>
        <w:t xml:space="preserve"> </w:t>
      </w:r>
      <w:r w:rsidR="00DE422C" w:rsidRPr="001E2538">
        <w:rPr>
          <w:rFonts w:cstheme="minorHAnsi"/>
          <w:sz w:val="18"/>
          <w:szCs w:val="18"/>
        </w:rPr>
        <w:t>Leonard Peach</w:t>
      </w:r>
      <w:r w:rsidR="004F7A5E" w:rsidRPr="001E2538">
        <w:rPr>
          <w:rFonts w:cstheme="minorHAnsi"/>
          <w:sz w:val="18"/>
          <w:szCs w:val="18"/>
        </w:rPr>
        <w:t>,</w:t>
      </w:r>
      <w:r w:rsidR="00DE422C" w:rsidRPr="001E2538">
        <w:rPr>
          <w:rFonts w:cstheme="minorHAnsi"/>
          <w:sz w:val="18"/>
          <w:szCs w:val="18"/>
        </w:rPr>
        <w:t xml:space="preserve"> </w:t>
      </w:r>
      <w:r w:rsidR="00DE422C" w:rsidRPr="001E2538">
        <w:rPr>
          <w:rFonts w:cstheme="minorHAnsi"/>
          <w:i/>
          <w:sz w:val="18"/>
          <w:szCs w:val="18"/>
        </w:rPr>
        <w:t>An</w:t>
      </w:r>
      <w:r w:rsidR="00DE422C" w:rsidRPr="001E2538">
        <w:rPr>
          <w:rFonts w:cstheme="minorHAnsi"/>
          <w:sz w:val="18"/>
          <w:szCs w:val="18"/>
        </w:rPr>
        <w:t xml:space="preserve"> </w:t>
      </w:r>
      <w:r w:rsidR="00DE422C" w:rsidRPr="001E2538">
        <w:rPr>
          <w:rFonts w:cstheme="minorHAnsi"/>
          <w:i/>
          <w:iCs/>
          <w:sz w:val="18"/>
          <w:szCs w:val="18"/>
        </w:rPr>
        <w:t>Independent Scrutiny of the Appointment Processes of Judges and Queen’s Counsel</w:t>
      </w:r>
      <w:r w:rsidR="00DE422C" w:rsidRPr="001E2538">
        <w:rPr>
          <w:rFonts w:cstheme="minorHAnsi"/>
          <w:iCs/>
          <w:sz w:val="18"/>
          <w:szCs w:val="18"/>
        </w:rPr>
        <w:t xml:space="preserve"> </w:t>
      </w:r>
      <w:r w:rsidR="00DE422C" w:rsidRPr="001E2538">
        <w:rPr>
          <w:rFonts w:cstheme="minorHAnsi"/>
          <w:sz w:val="18"/>
          <w:szCs w:val="18"/>
        </w:rPr>
        <w:t>1999; Law Society</w:t>
      </w:r>
      <w:r w:rsidR="004F7A5E" w:rsidRPr="001E2538">
        <w:rPr>
          <w:rFonts w:cstheme="minorHAnsi"/>
          <w:sz w:val="18"/>
          <w:szCs w:val="18"/>
        </w:rPr>
        <w:t>,</w:t>
      </w:r>
      <w:r w:rsidR="00DE422C" w:rsidRPr="001E2538">
        <w:rPr>
          <w:rFonts w:cstheme="minorHAnsi"/>
          <w:sz w:val="18"/>
          <w:szCs w:val="18"/>
        </w:rPr>
        <w:t xml:space="preserve"> </w:t>
      </w:r>
      <w:r w:rsidR="00DE422C" w:rsidRPr="001E2538">
        <w:rPr>
          <w:rFonts w:cstheme="minorHAnsi"/>
          <w:i/>
          <w:sz w:val="18"/>
          <w:szCs w:val="18"/>
        </w:rPr>
        <w:t xml:space="preserve">Broadening the Bench: </w:t>
      </w:r>
      <w:r w:rsidR="00DE422C" w:rsidRPr="001E2538">
        <w:rPr>
          <w:rFonts w:cstheme="minorHAnsi"/>
          <w:i/>
          <w:sz w:val="18"/>
          <w:szCs w:val="18"/>
          <w:lang w:val="en-US"/>
        </w:rPr>
        <w:t>Law Society proposals for reforming the way judges are appointed</w:t>
      </w:r>
      <w:r w:rsidR="00DE422C" w:rsidRPr="001E2538">
        <w:rPr>
          <w:rFonts w:cstheme="minorHAnsi"/>
          <w:sz w:val="18"/>
          <w:szCs w:val="18"/>
          <w:lang w:val="en-US"/>
        </w:rPr>
        <w:t xml:space="preserve"> </w:t>
      </w:r>
      <w:r w:rsidR="00DE422C" w:rsidRPr="001E2538">
        <w:rPr>
          <w:rFonts w:cstheme="minorHAnsi"/>
          <w:sz w:val="18"/>
          <w:szCs w:val="18"/>
        </w:rPr>
        <w:t>October 2000;</w:t>
      </w:r>
      <w:r w:rsidR="00376D93" w:rsidRPr="001E2538">
        <w:rPr>
          <w:rFonts w:cstheme="minorHAnsi"/>
          <w:sz w:val="18"/>
          <w:szCs w:val="18"/>
        </w:rPr>
        <w:t xml:space="preserve"> Thomas Legg</w:t>
      </w:r>
      <w:r w:rsidR="004F7A5E" w:rsidRPr="001E2538">
        <w:rPr>
          <w:rFonts w:cstheme="minorHAnsi"/>
          <w:sz w:val="18"/>
          <w:szCs w:val="18"/>
        </w:rPr>
        <w:t>,</w:t>
      </w:r>
      <w:r w:rsidR="008143F5" w:rsidRPr="001E2538">
        <w:rPr>
          <w:rFonts w:cstheme="minorHAnsi"/>
          <w:sz w:val="18"/>
          <w:szCs w:val="18"/>
        </w:rPr>
        <w:t xml:space="preserve"> ‘Judges for the New Century’ [2000] </w:t>
      </w:r>
      <w:r w:rsidR="008143F5" w:rsidRPr="001E2538">
        <w:rPr>
          <w:rFonts w:cstheme="minorHAnsi"/>
          <w:i/>
          <w:iCs/>
          <w:sz w:val="18"/>
          <w:szCs w:val="18"/>
        </w:rPr>
        <w:t>Public Law</w:t>
      </w:r>
      <w:r w:rsidR="008143F5" w:rsidRPr="001E2538">
        <w:rPr>
          <w:rFonts w:cstheme="minorHAnsi"/>
          <w:sz w:val="18"/>
          <w:szCs w:val="18"/>
        </w:rPr>
        <w:t xml:space="preserve"> 62</w:t>
      </w:r>
      <w:r w:rsidR="00376D93" w:rsidRPr="001E2538">
        <w:rPr>
          <w:rFonts w:cstheme="minorHAnsi"/>
          <w:sz w:val="18"/>
          <w:szCs w:val="18"/>
        </w:rPr>
        <w:t>;</w:t>
      </w:r>
      <w:r w:rsidR="00DE422C" w:rsidRPr="001E2538">
        <w:rPr>
          <w:rFonts w:cstheme="minorHAnsi"/>
          <w:sz w:val="18"/>
          <w:szCs w:val="18"/>
        </w:rPr>
        <w:t xml:space="preserve"> Department for Constitutional Affairs</w:t>
      </w:r>
      <w:r w:rsidR="004F7A5E" w:rsidRPr="001E2538">
        <w:rPr>
          <w:rFonts w:cstheme="minorHAnsi"/>
          <w:sz w:val="18"/>
          <w:szCs w:val="18"/>
        </w:rPr>
        <w:t>,</w:t>
      </w:r>
      <w:r w:rsidR="00DE422C" w:rsidRPr="001E2538">
        <w:rPr>
          <w:rFonts w:cstheme="minorHAnsi"/>
          <w:sz w:val="18"/>
          <w:szCs w:val="18"/>
        </w:rPr>
        <w:t xml:space="preserve"> </w:t>
      </w:r>
      <w:r w:rsidR="00DE422C" w:rsidRPr="001E2538">
        <w:rPr>
          <w:rFonts w:cstheme="minorHAnsi"/>
          <w:i/>
          <w:sz w:val="18"/>
          <w:szCs w:val="18"/>
        </w:rPr>
        <w:t>Constitutional Reform: A New Way of Appointing Judges</w:t>
      </w:r>
      <w:r w:rsidR="00DE422C" w:rsidRPr="001E2538">
        <w:rPr>
          <w:rFonts w:cstheme="minorHAnsi"/>
          <w:sz w:val="18"/>
          <w:szCs w:val="18"/>
        </w:rPr>
        <w:t xml:space="preserve"> CP 10/03 2003; Kate </w:t>
      </w:r>
      <w:proofErr w:type="spellStart"/>
      <w:r w:rsidR="00DE422C" w:rsidRPr="001E2538">
        <w:rPr>
          <w:rFonts w:cstheme="minorHAnsi"/>
          <w:sz w:val="18"/>
          <w:szCs w:val="18"/>
        </w:rPr>
        <w:t>Malleson</w:t>
      </w:r>
      <w:proofErr w:type="spellEnd"/>
      <w:r w:rsidR="004F7A5E" w:rsidRPr="001E2538">
        <w:rPr>
          <w:rFonts w:cstheme="minorHAnsi"/>
          <w:sz w:val="18"/>
          <w:szCs w:val="18"/>
        </w:rPr>
        <w:t>,</w:t>
      </w:r>
      <w:r w:rsidR="00DE422C" w:rsidRPr="001E2538">
        <w:rPr>
          <w:rFonts w:cstheme="minorHAnsi"/>
          <w:sz w:val="18"/>
          <w:szCs w:val="18"/>
        </w:rPr>
        <w:t xml:space="preserve"> ‘Justifying Gender Equality on the Bench: Why Difference Won't Do’ (2003) </w:t>
      </w:r>
      <w:r w:rsidR="00DE422C" w:rsidRPr="001E2538">
        <w:rPr>
          <w:rFonts w:cstheme="minorHAnsi"/>
          <w:i/>
          <w:iCs/>
          <w:sz w:val="18"/>
          <w:szCs w:val="18"/>
        </w:rPr>
        <w:t>Feminist Legal Studies</w:t>
      </w:r>
      <w:r w:rsidR="00DE422C" w:rsidRPr="001E2538">
        <w:rPr>
          <w:rFonts w:cstheme="minorHAnsi"/>
          <w:sz w:val="18"/>
          <w:szCs w:val="18"/>
        </w:rPr>
        <w:t xml:space="preserve"> 1; </w:t>
      </w:r>
      <w:r w:rsidR="004F7A5E" w:rsidRPr="001E2538">
        <w:rPr>
          <w:rFonts w:cstheme="minorHAnsi"/>
          <w:sz w:val="18"/>
          <w:szCs w:val="18"/>
        </w:rPr>
        <w:t>Department for Constitutional Affairs,</w:t>
      </w:r>
      <w:r w:rsidR="004F7A5E" w:rsidRPr="001E2538">
        <w:rPr>
          <w:rFonts w:cstheme="minorHAnsi"/>
          <w:i/>
          <w:sz w:val="18"/>
          <w:szCs w:val="18"/>
        </w:rPr>
        <w:t xml:space="preserve"> </w:t>
      </w:r>
      <w:r w:rsidR="00DE422C" w:rsidRPr="001E2538">
        <w:rPr>
          <w:rFonts w:cstheme="minorHAnsi"/>
          <w:i/>
          <w:sz w:val="18"/>
          <w:szCs w:val="18"/>
        </w:rPr>
        <w:t>Increasing Diversity in the Judiciary</w:t>
      </w:r>
      <w:r w:rsidR="00DE422C" w:rsidRPr="001E2538">
        <w:rPr>
          <w:rFonts w:cstheme="minorHAnsi"/>
          <w:sz w:val="18"/>
          <w:szCs w:val="18"/>
        </w:rPr>
        <w:t xml:space="preserve"> CP25/04 2004; House of Lords Select Committee on the Constitution</w:t>
      </w:r>
      <w:r w:rsidR="004F7A5E" w:rsidRPr="001E2538">
        <w:rPr>
          <w:rFonts w:cstheme="minorHAnsi"/>
          <w:sz w:val="18"/>
          <w:szCs w:val="18"/>
        </w:rPr>
        <w:t>,</w:t>
      </w:r>
      <w:r w:rsidR="00DE422C" w:rsidRPr="001E2538">
        <w:rPr>
          <w:rFonts w:cstheme="minorHAnsi"/>
          <w:sz w:val="18"/>
          <w:szCs w:val="18"/>
        </w:rPr>
        <w:t xml:space="preserve"> </w:t>
      </w:r>
      <w:r w:rsidR="00DE422C" w:rsidRPr="001E2538">
        <w:rPr>
          <w:rFonts w:cstheme="minorHAnsi"/>
          <w:i/>
          <w:iCs/>
          <w:sz w:val="18"/>
          <w:szCs w:val="18"/>
        </w:rPr>
        <w:t>Inquiry into Judicial Appointments Process</w:t>
      </w:r>
      <w:r w:rsidR="00DE422C" w:rsidRPr="001E2538">
        <w:rPr>
          <w:rFonts w:cstheme="minorHAnsi"/>
          <w:sz w:val="18"/>
          <w:szCs w:val="18"/>
        </w:rPr>
        <w:t xml:space="preserve"> 2011.</w:t>
      </w:r>
    </w:p>
  </w:footnote>
  <w:footnote w:id="48">
    <w:p w14:paraId="3CB6237F" w14:textId="0DE30325" w:rsidR="005C028A" w:rsidRPr="001E2538" w:rsidRDefault="005C028A"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Helena Normanton</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0030064C" w:rsidRPr="001E2538">
        <w:rPr>
          <w:rFonts w:asciiTheme="minorHAnsi" w:hAnsiTheme="minorHAnsi" w:cstheme="minorHAnsi"/>
          <w:sz w:val="18"/>
          <w:szCs w:val="18"/>
        </w:rPr>
        <w:t xml:space="preserve">Helena Normanton, Senior Woman Barrister, demands – </w:t>
      </w:r>
      <w:r w:rsidRPr="001E2538">
        <w:rPr>
          <w:rFonts w:asciiTheme="minorHAnsi" w:hAnsiTheme="minorHAnsi" w:cstheme="minorHAnsi"/>
          <w:sz w:val="18"/>
          <w:szCs w:val="18"/>
        </w:rPr>
        <w:t>Women Judges NOW</w:t>
      </w:r>
      <w:r w:rsidR="0030064C" w:rsidRPr="001E2538">
        <w:rPr>
          <w:rFonts w:asciiTheme="minorHAnsi" w:hAnsiTheme="minorHAnsi" w:cstheme="minorHAnsi"/>
          <w:sz w:val="18"/>
          <w:szCs w:val="18"/>
        </w:rPr>
        <w:t xml:space="preserve">’ </w:t>
      </w:r>
      <w:r w:rsidR="0030064C" w:rsidRPr="001E2538">
        <w:rPr>
          <w:rFonts w:asciiTheme="minorHAnsi" w:hAnsiTheme="minorHAnsi" w:cstheme="minorHAnsi"/>
          <w:i/>
          <w:iCs/>
          <w:sz w:val="18"/>
          <w:szCs w:val="18"/>
        </w:rPr>
        <w:t>The</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 xml:space="preserve">Daily Mail </w:t>
      </w:r>
      <w:r w:rsidRPr="001E2538">
        <w:rPr>
          <w:rFonts w:asciiTheme="minorHAnsi" w:hAnsiTheme="minorHAnsi" w:cstheme="minorHAnsi"/>
          <w:sz w:val="18"/>
          <w:szCs w:val="18"/>
        </w:rPr>
        <w:t>2 December 1937.</w:t>
      </w:r>
      <w:r w:rsidR="00D71AE7" w:rsidRPr="001E2538">
        <w:rPr>
          <w:rFonts w:asciiTheme="minorHAnsi" w:hAnsiTheme="minorHAnsi" w:cstheme="minorHAnsi"/>
          <w:sz w:val="18"/>
          <w:szCs w:val="18"/>
        </w:rPr>
        <w:t xml:space="preserve"> </w:t>
      </w:r>
      <w:r w:rsidR="00356F07">
        <w:rPr>
          <w:rFonts w:asciiTheme="minorHAnsi" w:hAnsiTheme="minorHAnsi" w:cstheme="minorHAnsi"/>
          <w:sz w:val="18"/>
          <w:szCs w:val="18"/>
        </w:rPr>
        <w:t xml:space="preserve"> On 24 December 1919, </w:t>
      </w:r>
      <w:r w:rsidR="00D71AE7" w:rsidRPr="001E2538">
        <w:rPr>
          <w:rFonts w:asciiTheme="minorHAnsi" w:hAnsiTheme="minorHAnsi" w:cstheme="minorHAnsi"/>
          <w:sz w:val="18"/>
          <w:szCs w:val="18"/>
        </w:rPr>
        <w:t>Normanton</w:t>
      </w:r>
      <w:r w:rsidR="00CF0AAE" w:rsidRPr="001E2538">
        <w:rPr>
          <w:rFonts w:asciiTheme="minorHAnsi" w:hAnsiTheme="minorHAnsi" w:cstheme="minorHAnsi"/>
          <w:sz w:val="18"/>
          <w:szCs w:val="18"/>
        </w:rPr>
        <w:t xml:space="preserve"> was the first woman to be admitted to an Inn of Court</w:t>
      </w:r>
      <w:r w:rsidR="00356F07">
        <w:rPr>
          <w:rFonts w:asciiTheme="minorHAnsi" w:hAnsiTheme="minorHAnsi" w:cstheme="minorHAnsi"/>
          <w:sz w:val="18"/>
          <w:szCs w:val="18"/>
        </w:rPr>
        <w:t>. W</w:t>
      </w:r>
      <w:r w:rsidR="00CF0AAE" w:rsidRPr="001E2538">
        <w:rPr>
          <w:rFonts w:asciiTheme="minorHAnsi" w:hAnsiTheme="minorHAnsi" w:cstheme="minorHAnsi"/>
          <w:sz w:val="18"/>
          <w:szCs w:val="18"/>
        </w:rPr>
        <w:t xml:space="preserve">ith Rose </w:t>
      </w:r>
      <w:proofErr w:type="spellStart"/>
      <w:r w:rsidR="00CF0AAE" w:rsidRPr="001E2538">
        <w:rPr>
          <w:rFonts w:asciiTheme="minorHAnsi" w:hAnsiTheme="minorHAnsi" w:cstheme="minorHAnsi"/>
          <w:sz w:val="18"/>
          <w:szCs w:val="18"/>
        </w:rPr>
        <w:t>Heilbron</w:t>
      </w:r>
      <w:proofErr w:type="spellEnd"/>
      <w:r w:rsidR="00CF0AAE" w:rsidRPr="001E2538">
        <w:rPr>
          <w:rFonts w:asciiTheme="minorHAnsi" w:hAnsiTheme="minorHAnsi" w:cstheme="minorHAnsi"/>
          <w:sz w:val="18"/>
          <w:szCs w:val="18"/>
        </w:rPr>
        <w:t xml:space="preserve">, </w:t>
      </w:r>
      <w:r w:rsidR="00356F07">
        <w:rPr>
          <w:rFonts w:asciiTheme="minorHAnsi" w:hAnsiTheme="minorHAnsi" w:cstheme="minorHAnsi"/>
          <w:sz w:val="18"/>
          <w:szCs w:val="18"/>
        </w:rPr>
        <w:t xml:space="preserve">she was </w:t>
      </w:r>
      <w:r w:rsidR="00CF0AAE" w:rsidRPr="001E2538">
        <w:rPr>
          <w:rFonts w:asciiTheme="minorHAnsi" w:hAnsiTheme="minorHAnsi" w:cstheme="minorHAnsi"/>
          <w:sz w:val="18"/>
          <w:szCs w:val="18"/>
        </w:rPr>
        <w:t>one of the two first women King’s Counsel in England and Wales. She</w:t>
      </w:r>
      <w:r w:rsidR="00D71AE7" w:rsidRPr="001E2538">
        <w:rPr>
          <w:rFonts w:asciiTheme="minorHAnsi" w:hAnsiTheme="minorHAnsi" w:cstheme="minorHAnsi"/>
          <w:sz w:val="18"/>
          <w:szCs w:val="18"/>
        </w:rPr>
        <w:t xml:space="preserve"> </w:t>
      </w:r>
      <w:r w:rsidR="00ED26FD" w:rsidRPr="001E2538">
        <w:rPr>
          <w:rFonts w:asciiTheme="minorHAnsi" w:hAnsiTheme="minorHAnsi" w:cstheme="minorHAnsi"/>
          <w:sz w:val="18"/>
          <w:szCs w:val="18"/>
        </w:rPr>
        <w:t xml:space="preserve">was a prolific writer and speaker on feminist issues, including </w:t>
      </w:r>
      <w:r w:rsidR="00ED26FD" w:rsidRPr="001E2538">
        <w:rPr>
          <w:rFonts w:asciiTheme="minorHAnsi" w:hAnsiTheme="minorHAnsi" w:cstheme="minorHAnsi"/>
          <w:i/>
          <w:iCs/>
          <w:sz w:val="18"/>
          <w:szCs w:val="18"/>
        </w:rPr>
        <w:t>Everyday Law for Women</w:t>
      </w:r>
      <w:r w:rsidR="00ED26FD" w:rsidRPr="001E2538">
        <w:rPr>
          <w:rFonts w:asciiTheme="minorHAnsi" w:hAnsiTheme="minorHAnsi" w:cstheme="minorHAnsi"/>
          <w:sz w:val="18"/>
          <w:szCs w:val="18"/>
        </w:rPr>
        <w:t xml:space="preserve"> (1932) and </w:t>
      </w:r>
      <w:r w:rsidR="00ED26FD" w:rsidRPr="001E2538">
        <w:rPr>
          <w:rFonts w:asciiTheme="minorHAnsi" w:hAnsiTheme="minorHAnsi" w:cstheme="minorHAnsi"/>
          <w:i/>
          <w:iCs/>
          <w:sz w:val="18"/>
          <w:szCs w:val="18"/>
        </w:rPr>
        <w:t xml:space="preserve">Oliver </w:t>
      </w:r>
      <w:proofErr w:type="spellStart"/>
      <w:r w:rsidR="00ED26FD" w:rsidRPr="001E2538">
        <w:rPr>
          <w:rFonts w:asciiTheme="minorHAnsi" w:hAnsiTheme="minorHAnsi" w:cstheme="minorHAnsi"/>
          <w:i/>
          <w:iCs/>
          <w:sz w:val="18"/>
          <w:szCs w:val="18"/>
        </w:rPr>
        <w:t>Quendon's</w:t>
      </w:r>
      <w:proofErr w:type="spellEnd"/>
      <w:r w:rsidR="00ED26FD" w:rsidRPr="001E2538">
        <w:rPr>
          <w:rFonts w:asciiTheme="minorHAnsi" w:hAnsiTheme="minorHAnsi" w:cstheme="minorHAnsi"/>
          <w:i/>
          <w:iCs/>
          <w:sz w:val="18"/>
          <w:szCs w:val="18"/>
        </w:rPr>
        <w:t xml:space="preserve"> First Case</w:t>
      </w:r>
      <w:r w:rsidR="00ED26FD" w:rsidRPr="001E2538">
        <w:rPr>
          <w:rFonts w:asciiTheme="minorHAnsi" w:hAnsiTheme="minorHAnsi" w:cstheme="minorHAnsi"/>
          <w:sz w:val="18"/>
          <w:szCs w:val="18"/>
        </w:rPr>
        <w:t>, a romantic detective novel</w:t>
      </w:r>
      <w:r w:rsidR="003334E8" w:rsidRPr="001E2538">
        <w:rPr>
          <w:rFonts w:asciiTheme="minorHAnsi" w:hAnsiTheme="minorHAnsi" w:cstheme="minorHAnsi"/>
          <w:sz w:val="18"/>
          <w:szCs w:val="18"/>
        </w:rPr>
        <w:t>, in 1927</w:t>
      </w:r>
      <w:r w:rsidR="00ED26FD" w:rsidRPr="001E2538">
        <w:rPr>
          <w:rFonts w:asciiTheme="minorHAnsi" w:hAnsiTheme="minorHAnsi" w:cstheme="minorHAnsi"/>
          <w:sz w:val="18"/>
          <w:szCs w:val="18"/>
        </w:rPr>
        <w:t xml:space="preserve"> under the pseudonym Cowdray Browne (Joanne Workman</w:t>
      </w:r>
      <w:r w:rsidR="00CF0AAE" w:rsidRPr="001E2538">
        <w:rPr>
          <w:rFonts w:asciiTheme="minorHAnsi" w:hAnsiTheme="minorHAnsi" w:cstheme="minorHAnsi"/>
          <w:sz w:val="18"/>
          <w:szCs w:val="18"/>
        </w:rPr>
        <w:t>,</w:t>
      </w:r>
      <w:r w:rsidR="00ED26FD" w:rsidRPr="001E2538">
        <w:rPr>
          <w:rFonts w:asciiTheme="minorHAnsi" w:hAnsiTheme="minorHAnsi" w:cstheme="minorHAnsi"/>
          <w:sz w:val="18"/>
          <w:szCs w:val="18"/>
        </w:rPr>
        <w:t xml:space="preserve"> ‘Normanton, Helena Florence’ </w:t>
      </w:r>
      <w:r w:rsidR="00ED26FD" w:rsidRPr="001E2538">
        <w:rPr>
          <w:rFonts w:asciiTheme="minorHAnsi" w:hAnsiTheme="minorHAnsi" w:cstheme="minorHAnsi"/>
          <w:i/>
          <w:iCs/>
          <w:sz w:val="18"/>
          <w:szCs w:val="18"/>
        </w:rPr>
        <w:t>Oxford Dictionary of National Biography</w:t>
      </w:r>
      <w:r w:rsidR="00ED26FD" w:rsidRPr="001E2538">
        <w:rPr>
          <w:rFonts w:asciiTheme="minorHAnsi" w:hAnsiTheme="minorHAnsi" w:cstheme="minorHAnsi"/>
          <w:sz w:val="18"/>
          <w:szCs w:val="18"/>
        </w:rPr>
        <w:t xml:space="preserve"> 23 September 2004, revised 22 September 2011</w:t>
      </w:r>
      <w:r w:rsidR="00CF0AAE" w:rsidRPr="001E2538">
        <w:rPr>
          <w:rFonts w:asciiTheme="minorHAnsi" w:hAnsiTheme="minorHAnsi" w:cstheme="minorHAnsi"/>
          <w:sz w:val="18"/>
          <w:szCs w:val="18"/>
        </w:rPr>
        <w:t>)</w:t>
      </w:r>
      <w:r w:rsidR="00ED26FD" w:rsidRPr="001E2538">
        <w:rPr>
          <w:rFonts w:asciiTheme="minorHAnsi" w:hAnsiTheme="minorHAnsi" w:cstheme="minorHAnsi"/>
          <w:sz w:val="18"/>
          <w:szCs w:val="18"/>
        </w:rPr>
        <w:t>.</w:t>
      </w:r>
    </w:p>
  </w:footnote>
  <w:footnote w:id="49">
    <w:p w14:paraId="784AFB9C" w14:textId="5C2E4CAE" w:rsidR="009906C0" w:rsidRPr="001E2538" w:rsidRDefault="009906C0"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Anon</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‘The Law of </w:t>
      </w:r>
      <w:r w:rsidR="007942BD" w:rsidRPr="001E2538">
        <w:rPr>
          <w:rFonts w:asciiTheme="minorHAnsi" w:hAnsiTheme="minorHAnsi" w:cstheme="minorHAnsi"/>
          <w:sz w:val="18"/>
          <w:szCs w:val="18"/>
        </w:rPr>
        <w:t>Divorce</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 xml:space="preserve">The Times </w:t>
      </w:r>
      <w:r w:rsidRPr="001E2538">
        <w:rPr>
          <w:rFonts w:asciiTheme="minorHAnsi" w:hAnsiTheme="minorHAnsi" w:cstheme="minorHAnsi"/>
          <w:sz w:val="18"/>
          <w:szCs w:val="18"/>
        </w:rPr>
        <w:t>30 June 1910</w:t>
      </w:r>
      <w:r w:rsidR="004C7399" w:rsidRPr="001E2538">
        <w:rPr>
          <w:rFonts w:asciiTheme="minorHAnsi" w:hAnsiTheme="minorHAnsi" w:cstheme="minorHAnsi"/>
          <w:sz w:val="18"/>
          <w:szCs w:val="18"/>
        </w:rPr>
        <w:t>.</w:t>
      </w:r>
    </w:p>
  </w:footnote>
  <w:footnote w:id="50">
    <w:p w14:paraId="31BDA0E3" w14:textId="2F039157" w:rsidR="00D16656" w:rsidRPr="001E2538" w:rsidRDefault="00D1665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356F07">
        <w:rPr>
          <w:rFonts w:asciiTheme="minorHAnsi" w:hAnsiTheme="minorHAnsi" w:cstheme="minorHAnsi"/>
          <w:sz w:val="18"/>
          <w:szCs w:val="18"/>
        </w:rPr>
        <w:t>Hansard,</w:t>
      </w:r>
      <w:r w:rsidRPr="001E2538">
        <w:rPr>
          <w:rFonts w:asciiTheme="minorHAnsi" w:hAnsiTheme="minorHAnsi" w:cstheme="minorHAnsi"/>
          <w:sz w:val="18"/>
          <w:szCs w:val="18"/>
        </w:rPr>
        <w:t xml:space="preserve"> ‘Judicial Appointments (Women)’ HC Deb</w:t>
      </w:r>
      <w:r w:rsidR="00784101" w:rsidRPr="001E2538">
        <w:rPr>
          <w:rFonts w:asciiTheme="minorHAnsi" w:hAnsiTheme="minorHAnsi" w:cstheme="minorHAnsi"/>
          <w:sz w:val="18"/>
          <w:szCs w:val="18"/>
        </w:rPr>
        <w:t>,</w:t>
      </w:r>
      <w:r w:rsidRPr="001E2538">
        <w:rPr>
          <w:rFonts w:asciiTheme="minorHAnsi" w:hAnsiTheme="minorHAnsi" w:cstheme="minorHAnsi"/>
          <w:sz w:val="18"/>
          <w:szCs w:val="18"/>
        </w:rPr>
        <w:t xml:space="preserve"> vol 154 col 567W</w:t>
      </w:r>
      <w:r w:rsidR="00917773">
        <w:rPr>
          <w:rFonts w:asciiTheme="minorHAnsi" w:hAnsiTheme="minorHAnsi" w:cstheme="minorHAnsi"/>
          <w:sz w:val="18"/>
          <w:szCs w:val="18"/>
        </w:rPr>
        <w:t xml:space="preserve"> (</w:t>
      </w:r>
      <w:r w:rsidR="00917773" w:rsidRPr="001E2538">
        <w:rPr>
          <w:rFonts w:asciiTheme="minorHAnsi" w:hAnsiTheme="minorHAnsi" w:cstheme="minorHAnsi"/>
          <w:sz w:val="18"/>
          <w:szCs w:val="18"/>
        </w:rPr>
        <w:t>18 May 1922</w:t>
      </w:r>
      <w:r w:rsidR="00917773">
        <w:rPr>
          <w:rFonts w:asciiTheme="minorHAnsi" w:hAnsiTheme="minorHAnsi" w:cstheme="minorHAnsi"/>
          <w:sz w:val="18"/>
          <w:szCs w:val="18"/>
        </w:rPr>
        <w:t>)</w:t>
      </w:r>
      <w:r w:rsidRPr="001E2538">
        <w:rPr>
          <w:rFonts w:asciiTheme="minorHAnsi" w:hAnsiTheme="minorHAnsi" w:cstheme="minorHAnsi"/>
          <w:sz w:val="18"/>
          <w:szCs w:val="18"/>
        </w:rPr>
        <w:t>. See also Anon</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‘Women Judges. Equal Opportunities with Men’ </w:t>
      </w:r>
      <w:r w:rsidR="00784101" w:rsidRPr="001E2538">
        <w:rPr>
          <w:rFonts w:asciiTheme="minorHAnsi" w:hAnsiTheme="minorHAnsi" w:cstheme="minorHAnsi"/>
          <w:i/>
          <w:iCs/>
          <w:sz w:val="18"/>
          <w:szCs w:val="18"/>
        </w:rPr>
        <w:t xml:space="preserve">The </w:t>
      </w:r>
      <w:r w:rsidRPr="001E2538">
        <w:rPr>
          <w:rFonts w:asciiTheme="minorHAnsi" w:hAnsiTheme="minorHAnsi" w:cstheme="minorHAnsi"/>
          <w:i/>
          <w:iCs/>
          <w:sz w:val="18"/>
          <w:szCs w:val="18"/>
        </w:rPr>
        <w:t>Daily Mail</w:t>
      </w:r>
      <w:r w:rsidRPr="001E2538">
        <w:rPr>
          <w:rFonts w:asciiTheme="minorHAnsi" w:hAnsiTheme="minorHAnsi" w:cstheme="minorHAnsi"/>
          <w:sz w:val="18"/>
          <w:szCs w:val="18"/>
        </w:rPr>
        <w:t xml:space="preserve"> 19 May 1922.</w:t>
      </w:r>
    </w:p>
  </w:footnote>
  <w:footnote w:id="51">
    <w:p w14:paraId="68C14B6C" w14:textId="798B4E95" w:rsidR="004C7399" w:rsidRPr="001E2538" w:rsidRDefault="004C7399"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See </w:t>
      </w:r>
      <w:proofErr w:type="spellStart"/>
      <w:proofErr w:type="gramStart"/>
      <w:r w:rsidRPr="001E2538">
        <w:rPr>
          <w:rFonts w:asciiTheme="minorHAnsi" w:hAnsiTheme="minorHAnsi" w:cstheme="minorHAnsi"/>
          <w:sz w:val="18"/>
          <w:szCs w:val="18"/>
        </w:rPr>
        <w:t>eg</w:t>
      </w:r>
      <w:proofErr w:type="spellEnd"/>
      <w:proofErr w:type="gramEnd"/>
      <w:r w:rsidRPr="001E2538">
        <w:rPr>
          <w:rFonts w:asciiTheme="minorHAnsi" w:hAnsiTheme="minorHAnsi" w:cstheme="minorHAnsi"/>
          <w:sz w:val="18"/>
          <w:szCs w:val="18"/>
        </w:rPr>
        <w:t xml:space="preserve"> Anon</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‘Can women argue?’ </w:t>
      </w:r>
      <w:r w:rsidRPr="001E2538">
        <w:rPr>
          <w:rFonts w:asciiTheme="minorHAnsi" w:hAnsiTheme="minorHAnsi" w:cstheme="minorHAnsi"/>
          <w:i/>
          <w:iCs/>
          <w:sz w:val="18"/>
          <w:szCs w:val="18"/>
        </w:rPr>
        <w:t xml:space="preserve">The Daily Mail </w:t>
      </w:r>
      <w:r w:rsidRPr="001E2538">
        <w:rPr>
          <w:rFonts w:asciiTheme="minorHAnsi" w:hAnsiTheme="minorHAnsi" w:cstheme="minorHAnsi"/>
          <w:sz w:val="18"/>
          <w:szCs w:val="18"/>
        </w:rPr>
        <w:t>1 June 1923; Lillie Ross Clyne</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‘We Need Women Judges’ </w:t>
      </w:r>
      <w:r w:rsidRPr="001E2538">
        <w:rPr>
          <w:rFonts w:asciiTheme="minorHAnsi" w:hAnsiTheme="minorHAnsi" w:cstheme="minorHAnsi"/>
          <w:i/>
          <w:iCs/>
          <w:sz w:val="18"/>
          <w:szCs w:val="18"/>
        </w:rPr>
        <w:t>The Derby Daily Telegraph</w:t>
      </w:r>
      <w:r w:rsidRPr="001E2538">
        <w:rPr>
          <w:rFonts w:asciiTheme="minorHAnsi" w:hAnsiTheme="minorHAnsi" w:cstheme="minorHAnsi"/>
          <w:sz w:val="18"/>
          <w:szCs w:val="18"/>
        </w:rPr>
        <w:t xml:space="preserve"> 8 November 1929; Percy Cater</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‘Bishop calls for women divorce judges’ </w:t>
      </w:r>
      <w:r w:rsidRPr="001E2538">
        <w:rPr>
          <w:rFonts w:asciiTheme="minorHAnsi" w:hAnsiTheme="minorHAnsi" w:cstheme="minorHAnsi"/>
          <w:i/>
          <w:iCs/>
          <w:sz w:val="18"/>
          <w:szCs w:val="18"/>
        </w:rPr>
        <w:t xml:space="preserve">The Daily Mail </w:t>
      </w:r>
      <w:r w:rsidRPr="001E2538">
        <w:rPr>
          <w:rFonts w:asciiTheme="minorHAnsi" w:hAnsiTheme="minorHAnsi" w:cstheme="minorHAnsi"/>
          <w:sz w:val="18"/>
          <w:szCs w:val="18"/>
        </w:rPr>
        <w:t>29 June 1937; Edgar Middleton</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‘Why shouldn’t women be judges?’ </w:t>
      </w:r>
      <w:r w:rsidRPr="001E2538">
        <w:rPr>
          <w:rFonts w:asciiTheme="minorHAnsi" w:hAnsiTheme="minorHAnsi" w:cstheme="minorHAnsi"/>
          <w:i/>
          <w:iCs/>
          <w:sz w:val="18"/>
          <w:szCs w:val="18"/>
        </w:rPr>
        <w:t xml:space="preserve">The Daily Mail </w:t>
      </w:r>
      <w:r w:rsidRPr="001E2538">
        <w:rPr>
          <w:rFonts w:asciiTheme="minorHAnsi" w:hAnsiTheme="minorHAnsi" w:cstheme="minorHAnsi"/>
          <w:sz w:val="18"/>
          <w:szCs w:val="18"/>
        </w:rPr>
        <w:t>1 February 1939.</w:t>
      </w:r>
    </w:p>
  </w:footnote>
  <w:footnote w:id="52">
    <w:p w14:paraId="18EA46E0" w14:textId="2DD91693" w:rsidR="00280C4D" w:rsidRPr="001E2538" w:rsidRDefault="00280C4D">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Anon, ‘Why not women judges?’ </w:t>
      </w:r>
      <w:r w:rsidRPr="001E2538">
        <w:rPr>
          <w:rFonts w:asciiTheme="minorHAnsi" w:hAnsiTheme="minorHAnsi" w:cstheme="minorHAnsi"/>
          <w:i/>
          <w:iCs/>
          <w:sz w:val="18"/>
          <w:szCs w:val="18"/>
        </w:rPr>
        <w:t>The Nottingham Evening Post</w:t>
      </w:r>
      <w:r w:rsidRPr="001E2538">
        <w:rPr>
          <w:rFonts w:asciiTheme="minorHAnsi" w:hAnsiTheme="minorHAnsi" w:cstheme="minorHAnsi"/>
          <w:sz w:val="18"/>
          <w:szCs w:val="18"/>
        </w:rPr>
        <w:t xml:space="preserve"> 4 January 1935</w:t>
      </w:r>
    </w:p>
  </w:footnote>
  <w:footnote w:id="53">
    <w:p w14:paraId="799541F8" w14:textId="2CA8B995" w:rsidR="005C5D09" w:rsidRPr="001E2538" w:rsidRDefault="005C5D09"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The Fawcett Society’s report on </w:t>
      </w:r>
      <w:r w:rsidRPr="001E2538">
        <w:rPr>
          <w:rFonts w:asciiTheme="minorHAnsi" w:hAnsiTheme="minorHAnsi" w:cstheme="minorHAnsi"/>
          <w:i/>
          <w:iCs/>
          <w:sz w:val="18"/>
          <w:szCs w:val="18"/>
        </w:rPr>
        <w:t>Women and the Criminal Justice System</w:t>
      </w:r>
      <w:r w:rsidRPr="001E2538">
        <w:rPr>
          <w:rFonts w:asciiTheme="minorHAnsi" w:hAnsiTheme="minorHAnsi" w:cstheme="minorHAnsi"/>
          <w:sz w:val="18"/>
          <w:szCs w:val="18"/>
        </w:rPr>
        <w:t xml:space="preserve"> published in 2004, Geoffrey Bindman and Karon Monaghan’s 2014 </w:t>
      </w:r>
      <w:r w:rsidRPr="001E2538">
        <w:rPr>
          <w:rFonts w:asciiTheme="minorHAnsi" w:hAnsiTheme="minorHAnsi" w:cstheme="minorHAnsi"/>
          <w:i/>
          <w:iCs/>
          <w:sz w:val="18"/>
          <w:szCs w:val="18"/>
        </w:rPr>
        <w:t>Accelerating Diversity</w:t>
      </w:r>
      <w:r w:rsidRPr="001E2538">
        <w:rPr>
          <w:rFonts w:asciiTheme="minorHAnsi" w:hAnsiTheme="minorHAnsi" w:cstheme="minorHAnsi"/>
          <w:sz w:val="18"/>
          <w:szCs w:val="18"/>
        </w:rPr>
        <w:t xml:space="preserve"> report, and many of Lady Hale’s speeches are notable exceptions.</w:t>
      </w:r>
    </w:p>
  </w:footnote>
  <w:footnote w:id="54">
    <w:p w14:paraId="57EEE3AF" w14:textId="33B7E63A" w:rsidR="00280C4D" w:rsidRPr="001E2538" w:rsidRDefault="00280C4D" w:rsidP="00280C4D">
      <w:pPr>
        <w:autoSpaceDE w:val="0"/>
        <w:autoSpaceDN w:val="0"/>
        <w:adjustRightInd w:val="0"/>
        <w:rPr>
          <w:rFonts w:cstheme="minorHAnsi"/>
          <w:color w:val="292526"/>
          <w:sz w:val="18"/>
          <w:szCs w:val="18"/>
        </w:rPr>
      </w:pPr>
      <w:r w:rsidRPr="001E2538">
        <w:rPr>
          <w:rStyle w:val="FootnoteReference"/>
          <w:rFonts w:cstheme="minorHAnsi"/>
          <w:sz w:val="18"/>
          <w:szCs w:val="18"/>
        </w:rPr>
        <w:footnoteRef/>
      </w:r>
      <w:r w:rsidRPr="001E2538">
        <w:rPr>
          <w:rFonts w:cstheme="minorHAnsi"/>
          <w:sz w:val="18"/>
          <w:szCs w:val="18"/>
        </w:rPr>
        <w:t xml:space="preserve"> </w:t>
      </w:r>
      <w:r w:rsidRPr="001E2538">
        <w:rPr>
          <w:rFonts w:cstheme="minorHAnsi"/>
          <w:sz w:val="18"/>
          <w:szCs w:val="18"/>
        </w:rPr>
        <w:tab/>
        <w:t xml:space="preserve">Throughout the 1970-80s, </w:t>
      </w:r>
      <w:r w:rsidRPr="001E2538">
        <w:rPr>
          <w:rFonts w:cstheme="minorHAnsi"/>
          <w:color w:val="292526"/>
          <w:sz w:val="18"/>
          <w:szCs w:val="18"/>
        </w:rPr>
        <w:t>calls for more women judges were regularly made</w:t>
      </w:r>
      <w:r w:rsidR="00BF3E2A" w:rsidRPr="001E2538">
        <w:rPr>
          <w:rFonts w:cstheme="minorHAnsi"/>
          <w:color w:val="292526"/>
          <w:sz w:val="18"/>
          <w:szCs w:val="18"/>
        </w:rPr>
        <w:t xml:space="preserve"> both inside and outside parliament,</w:t>
      </w:r>
      <w:r w:rsidRPr="001E2538">
        <w:rPr>
          <w:rFonts w:cstheme="minorHAnsi"/>
          <w:color w:val="292526"/>
          <w:sz w:val="18"/>
          <w:szCs w:val="18"/>
        </w:rPr>
        <w:t xml:space="preserve"> usually on the basis that it would ensure greater public confidence in the judiciary </w:t>
      </w:r>
      <w:r w:rsidR="00356F07">
        <w:rPr>
          <w:rFonts w:cstheme="minorHAnsi"/>
          <w:color w:val="292526"/>
          <w:sz w:val="18"/>
          <w:szCs w:val="18"/>
        </w:rPr>
        <w:t>especially in</w:t>
      </w:r>
      <w:r w:rsidRPr="001E2538">
        <w:rPr>
          <w:rFonts w:cstheme="minorHAnsi"/>
          <w:color w:val="292526"/>
          <w:sz w:val="18"/>
          <w:szCs w:val="18"/>
        </w:rPr>
        <w:t xml:space="preserve"> areas </w:t>
      </w:r>
      <w:r w:rsidR="00BF3E2A" w:rsidRPr="001E2538">
        <w:rPr>
          <w:rFonts w:cstheme="minorHAnsi"/>
          <w:color w:val="292526"/>
          <w:sz w:val="18"/>
          <w:szCs w:val="18"/>
        </w:rPr>
        <w:t xml:space="preserve">impacting </w:t>
      </w:r>
      <w:proofErr w:type="gramStart"/>
      <w:r w:rsidRPr="001E2538">
        <w:rPr>
          <w:rFonts w:cstheme="minorHAnsi"/>
          <w:color w:val="292526"/>
          <w:sz w:val="18"/>
          <w:szCs w:val="18"/>
        </w:rPr>
        <w:t>women</w:t>
      </w:r>
      <w:r w:rsidR="00356F07">
        <w:rPr>
          <w:rFonts w:cstheme="minorHAnsi"/>
          <w:color w:val="292526"/>
          <w:sz w:val="18"/>
          <w:szCs w:val="18"/>
        </w:rPr>
        <w:t xml:space="preserve"> in particular</w:t>
      </w:r>
      <w:proofErr w:type="gramEnd"/>
      <w:r w:rsidR="00356F07">
        <w:rPr>
          <w:rFonts w:cstheme="minorHAnsi"/>
          <w:color w:val="292526"/>
          <w:sz w:val="18"/>
          <w:szCs w:val="18"/>
        </w:rPr>
        <w:t>. S</w:t>
      </w:r>
      <w:r w:rsidRPr="001E2538">
        <w:rPr>
          <w:rFonts w:cstheme="minorHAnsi"/>
          <w:color w:val="292526"/>
          <w:sz w:val="18"/>
          <w:szCs w:val="18"/>
        </w:rPr>
        <w:t xml:space="preserve">ee </w:t>
      </w:r>
      <w:proofErr w:type="spellStart"/>
      <w:proofErr w:type="gramStart"/>
      <w:r w:rsidRPr="001E2538">
        <w:rPr>
          <w:rFonts w:cstheme="minorHAnsi"/>
          <w:color w:val="292526"/>
          <w:sz w:val="18"/>
          <w:szCs w:val="18"/>
        </w:rPr>
        <w:t>eg</w:t>
      </w:r>
      <w:proofErr w:type="spellEnd"/>
      <w:proofErr w:type="gramEnd"/>
      <w:r w:rsidRPr="001E2538">
        <w:rPr>
          <w:rFonts w:cstheme="minorHAnsi"/>
          <w:color w:val="292526"/>
          <w:sz w:val="18"/>
          <w:szCs w:val="18"/>
        </w:rPr>
        <w:t xml:space="preserve"> </w:t>
      </w:r>
      <w:r w:rsidRPr="001E2538">
        <w:rPr>
          <w:rFonts w:cstheme="minorHAnsi"/>
          <w:sz w:val="18"/>
          <w:szCs w:val="18"/>
        </w:rPr>
        <w:t xml:space="preserve">Evidence submitted by the Equal Opportunities Commission to the Royal Commission on Legal Services (1979) included as Appendix I in </w:t>
      </w:r>
      <w:r w:rsidRPr="001E2538">
        <w:rPr>
          <w:rFonts w:cstheme="minorHAnsi"/>
          <w:i/>
          <w:iCs/>
          <w:sz w:val="18"/>
          <w:szCs w:val="18"/>
        </w:rPr>
        <w:t xml:space="preserve">Without Prejudice? Sex Equality at the Bar and in the Judiciary </w:t>
      </w:r>
      <w:r w:rsidRPr="001E2538">
        <w:rPr>
          <w:rFonts w:cstheme="minorHAnsi"/>
          <w:sz w:val="18"/>
          <w:szCs w:val="18"/>
        </w:rPr>
        <w:t xml:space="preserve">(November 1992); Baroness Stewart, </w:t>
      </w:r>
      <w:r w:rsidR="00A17E2B">
        <w:rPr>
          <w:rFonts w:cstheme="minorHAnsi"/>
          <w:sz w:val="18"/>
          <w:szCs w:val="18"/>
        </w:rPr>
        <w:t xml:space="preserve">Hansard, </w:t>
      </w:r>
      <w:r w:rsidRPr="001E2538">
        <w:rPr>
          <w:rFonts w:cstheme="minorHAnsi"/>
          <w:sz w:val="18"/>
          <w:szCs w:val="18"/>
        </w:rPr>
        <w:t xml:space="preserve">‘Maximum Number </w:t>
      </w:r>
      <w:proofErr w:type="gramStart"/>
      <w:r w:rsidRPr="001E2538">
        <w:rPr>
          <w:rFonts w:cstheme="minorHAnsi"/>
          <w:sz w:val="18"/>
          <w:szCs w:val="18"/>
        </w:rPr>
        <w:t>Of</w:t>
      </w:r>
      <w:proofErr w:type="gramEnd"/>
      <w:r w:rsidRPr="001E2538">
        <w:rPr>
          <w:rFonts w:cstheme="minorHAnsi"/>
          <w:sz w:val="18"/>
          <w:szCs w:val="18"/>
        </w:rPr>
        <w:t xml:space="preserve"> Judges Order 1975’, HL Deb, vol 362 col 1226</w:t>
      </w:r>
      <w:r w:rsidR="00A17E2B">
        <w:rPr>
          <w:rFonts w:cstheme="minorHAnsi"/>
          <w:sz w:val="18"/>
          <w:szCs w:val="18"/>
        </w:rPr>
        <w:t xml:space="preserve"> (</w:t>
      </w:r>
      <w:r w:rsidR="00A17E2B" w:rsidRPr="001E2538">
        <w:rPr>
          <w:rFonts w:cstheme="minorHAnsi"/>
          <w:sz w:val="18"/>
          <w:szCs w:val="18"/>
        </w:rPr>
        <w:t>15 July 1975</w:t>
      </w:r>
      <w:r w:rsidR="00A17E2B">
        <w:rPr>
          <w:rFonts w:cstheme="minorHAnsi"/>
          <w:sz w:val="18"/>
          <w:szCs w:val="18"/>
        </w:rPr>
        <w:t>)</w:t>
      </w:r>
      <w:r w:rsidRPr="001E2538">
        <w:rPr>
          <w:rFonts w:cstheme="minorHAnsi"/>
          <w:sz w:val="18"/>
          <w:szCs w:val="18"/>
        </w:rPr>
        <w:t xml:space="preserve">; David </w:t>
      </w:r>
      <w:proofErr w:type="spellStart"/>
      <w:r w:rsidRPr="001E2538">
        <w:rPr>
          <w:rFonts w:cstheme="minorHAnsi"/>
          <w:sz w:val="18"/>
          <w:szCs w:val="18"/>
        </w:rPr>
        <w:t>Pannick</w:t>
      </w:r>
      <w:proofErr w:type="spellEnd"/>
      <w:r w:rsidRPr="001E2538">
        <w:rPr>
          <w:rFonts w:cstheme="minorHAnsi"/>
          <w:sz w:val="18"/>
          <w:szCs w:val="18"/>
        </w:rPr>
        <w:t xml:space="preserve"> ‘Agenda (Out of Court): Why criticism should not make </w:t>
      </w:r>
      <w:proofErr w:type="spellStart"/>
      <w:r w:rsidRPr="001E2538">
        <w:rPr>
          <w:rFonts w:cstheme="minorHAnsi"/>
          <w:sz w:val="18"/>
          <w:szCs w:val="18"/>
        </w:rPr>
        <w:t>m'lud</w:t>
      </w:r>
      <w:proofErr w:type="spellEnd"/>
      <w:r w:rsidRPr="001E2538">
        <w:rPr>
          <w:rFonts w:cstheme="minorHAnsi"/>
          <w:sz w:val="18"/>
          <w:szCs w:val="18"/>
        </w:rPr>
        <w:t xml:space="preserve"> flip his wig’ </w:t>
      </w:r>
      <w:r w:rsidRPr="001E2538">
        <w:rPr>
          <w:rFonts w:cstheme="minorHAnsi"/>
          <w:i/>
          <w:iCs/>
          <w:sz w:val="18"/>
          <w:szCs w:val="18"/>
        </w:rPr>
        <w:t>The Guardian</w:t>
      </w:r>
      <w:r w:rsidRPr="001E2538">
        <w:rPr>
          <w:rFonts w:cstheme="minorHAnsi"/>
          <w:sz w:val="18"/>
          <w:szCs w:val="18"/>
        </w:rPr>
        <w:t xml:space="preserve"> 6 August 1984</w:t>
      </w:r>
      <w:r w:rsidRPr="001E2538">
        <w:rPr>
          <w:rFonts w:cstheme="minorHAnsi"/>
          <w:color w:val="292526"/>
          <w:sz w:val="18"/>
          <w:szCs w:val="18"/>
        </w:rPr>
        <w:t xml:space="preserve">. In 1987 Claire Short MP, responding to sentencing remarks made by the Old Bailey Judge, John Leonard, in the so-called ‘Ealing vicarage rape case’ that the trauma suffered by a victim-survivor of rape was ‘not so very great’ a few years earlier made the case for more women judges: ‘The enraging thing … was the comments of the judge – which are typical of the comments that are made over and over again by our judiciary – that rape is easily overcome, that the woman had done well to get over it so rapidly and that now the victim was OK … </w:t>
      </w:r>
      <w:r w:rsidRPr="001E2538">
        <w:rPr>
          <w:rFonts w:cstheme="minorHAnsi"/>
          <w:sz w:val="18"/>
          <w:szCs w:val="18"/>
        </w:rPr>
        <w:t xml:space="preserve"> </w:t>
      </w:r>
      <w:r w:rsidRPr="001E2538">
        <w:rPr>
          <w:rFonts w:cstheme="minorHAnsi"/>
          <w:color w:val="292526"/>
          <w:sz w:val="18"/>
          <w:szCs w:val="18"/>
        </w:rPr>
        <w:t>We need to re-educate the judiciary. The judiciary should undergo a compulsory course that includes a session with women working in rape crisis centres before being allowed to hear more rape cases. We need more women judges’ (</w:t>
      </w:r>
      <w:r w:rsidR="00A17E2B">
        <w:rPr>
          <w:rFonts w:cstheme="minorHAnsi"/>
          <w:color w:val="292526"/>
          <w:sz w:val="18"/>
          <w:szCs w:val="18"/>
        </w:rPr>
        <w:t xml:space="preserve">Hansard </w:t>
      </w:r>
      <w:r w:rsidRPr="001E2538">
        <w:rPr>
          <w:rFonts w:cstheme="minorHAnsi"/>
          <w:color w:val="292526"/>
          <w:sz w:val="18"/>
          <w:szCs w:val="18"/>
        </w:rPr>
        <w:t>‘</w:t>
      </w:r>
      <w:r w:rsidRPr="001E2538">
        <w:rPr>
          <w:rFonts w:cstheme="minorHAnsi"/>
          <w:sz w:val="18"/>
          <w:szCs w:val="18"/>
        </w:rPr>
        <w:t xml:space="preserve">Women </w:t>
      </w:r>
      <w:proofErr w:type="gramStart"/>
      <w:r w:rsidRPr="001E2538">
        <w:rPr>
          <w:rFonts w:cstheme="minorHAnsi"/>
          <w:sz w:val="18"/>
          <w:szCs w:val="18"/>
        </w:rPr>
        <w:t>In</w:t>
      </w:r>
      <w:proofErr w:type="gramEnd"/>
      <w:r w:rsidRPr="001E2538">
        <w:rPr>
          <w:rFonts w:cstheme="minorHAnsi"/>
          <w:sz w:val="18"/>
          <w:szCs w:val="18"/>
        </w:rPr>
        <w:t xml:space="preserve"> The Community’ HC Deb, vol 110, col 858</w:t>
      </w:r>
      <w:r w:rsidR="00A17E2B">
        <w:rPr>
          <w:rFonts w:cstheme="minorHAnsi"/>
          <w:sz w:val="18"/>
          <w:szCs w:val="18"/>
        </w:rPr>
        <w:t xml:space="preserve"> (</w:t>
      </w:r>
      <w:r w:rsidR="00A17E2B" w:rsidRPr="001E2538">
        <w:rPr>
          <w:rFonts w:cstheme="minorHAnsi"/>
          <w:sz w:val="18"/>
          <w:szCs w:val="18"/>
        </w:rPr>
        <w:t>17 February 1987</w:t>
      </w:r>
      <w:r w:rsidR="00A17E2B">
        <w:rPr>
          <w:rFonts w:cstheme="minorHAnsi"/>
          <w:sz w:val="18"/>
          <w:szCs w:val="18"/>
        </w:rPr>
        <w:t>)</w:t>
      </w:r>
      <w:r w:rsidRPr="001E2538">
        <w:rPr>
          <w:rFonts w:cstheme="minorHAnsi"/>
          <w:sz w:val="18"/>
          <w:szCs w:val="18"/>
        </w:rPr>
        <w:t xml:space="preserve">). Harry Greenway MP went further and called </w:t>
      </w:r>
      <w:r w:rsidRPr="001E2538">
        <w:rPr>
          <w:rFonts w:cstheme="minorHAnsi"/>
          <w:color w:val="212121"/>
          <w:sz w:val="18"/>
          <w:szCs w:val="18"/>
          <w:shd w:val="clear" w:color="auto" w:fill="FFFFFF"/>
        </w:rPr>
        <w:t xml:space="preserve">for rape cases to be heard only by women judges (Martin Wainwright, ‘Victims attack 'soft' rape terms’ </w:t>
      </w:r>
      <w:r w:rsidRPr="001E2538">
        <w:rPr>
          <w:rFonts w:cstheme="minorHAnsi"/>
          <w:i/>
          <w:iCs/>
          <w:color w:val="212121"/>
          <w:sz w:val="18"/>
          <w:szCs w:val="18"/>
          <w:shd w:val="clear" w:color="auto" w:fill="FFFFFF"/>
        </w:rPr>
        <w:t>The Guardian</w:t>
      </w:r>
      <w:r w:rsidRPr="001E2538">
        <w:rPr>
          <w:rFonts w:cstheme="minorHAnsi"/>
          <w:color w:val="212121"/>
          <w:sz w:val="18"/>
          <w:szCs w:val="18"/>
          <w:shd w:val="clear" w:color="auto" w:fill="FFFFFF"/>
        </w:rPr>
        <w:t xml:space="preserve"> 4 February 1987)</w:t>
      </w:r>
      <w:r w:rsidRPr="001E2538">
        <w:rPr>
          <w:rFonts w:cstheme="minorHAnsi"/>
          <w:color w:val="292526"/>
          <w:sz w:val="18"/>
          <w:szCs w:val="18"/>
        </w:rPr>
        <w:t>.</w:t>
      </w:r>
    </w:p>
  </w:footnote>
  <w:footnote w:id="55">
    <w:p w14:paraId="4DE96189" w14:textId="1D77226A" w:rsidR="00EB7AD4" w:rsidRPr="001E2538" w:rsidRDefault="00EB7AD4"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For the most part the content and existence of gender differences between female and male judges was assumed. This was no bad thing. The empirical evidence was</w:t>
      </w:r>
      <w:r w:rsidR="007B7F77" w:rsidRPr="001E2538">
        <w:rPr>
          <w:rFonts w:asciiTheme="minorHAnsi" w:hAnsiTheme="minorHAnsi" w:cstheme="minorHAnsi"/>
          <w:sz w:val="18"/>
          <w:szCs w:val="18"/>
        </w:rPr>
        <w:t xml:space="preserve"> at best</w:t>
      </w:r>
      <w:r w:rsidRPr="001E2538">
        <w:rPr>
          <w:rFonts w:asciiTheme="minorHAnsi" w:hAnsiTheme="minorHAnsi" w:cstheme="minorHAnsi"/>
          <w:sz w:val="18"/>
          <w:szCs w:val="18"/>
        </w:rPr>
        <w:t xml:space="preserve"> </w:t>
      </w:r>
      <w:r w:rsidR="007B7F77" w:rsidRPr="001E2538">
        <w:rPr>
          <w:rFonts w:asciiTheme="minorHAnsi" w:hAnsiTheme="minorHAnsi" w:cstheme="minorHAnsi"/>
          <w:sz w:val="18"/>
          <w:szCs w:val="18"/>
        </w:rPr>
        <w:t xml:space="preserve">inconclusive and at worst, </w:t>
      </w:r>
      <w:r w:rsidRPr="001E2538">
        <w:rPr>
          <w:rFonts w:asciiTheme="minorHAnsi" w:hAnsiTheme="minorHAnsi" w:cstheme="minorHAnsi"/>
          <w:sz w:val="18"/>
          <w:szCs w:val="18"/>
        </w:rPr>
        <w:t>contradictory</w:t>
      </w:r>
      <w:r w:rsidR="007B7F77" w:rsidRPr="001E2538">
        <w:rPr>
          <w:rFonts w:asciiTheme="minorHAnsi" w:hAnsiTheme="minorHAnsi" w:cstheme="minorHAnsi"/>
          <w:sz w:val="18"/>
          <w:szCs w:val="18"/>
        </w:rPr>
        <w:t xml:space="preserve"> and unsophisticated </w:t>
      </w:r>
      <w:r w:rsidR="00D4616C" w:rsidRPr="001E2538">
        <w:rPr>
          <w:rFonts w:asciiTheme="minorHAnsi" w:hAnsiTheme="minorHAnsi" w:cstheme="minorHAnsi"/>
          <w:sz w:val="18"/>
          <w:szCs w:val="18"/>
        </w:rPr>
        <w:t>(</w:t>
      </w:r>
      <w:proofErr w:type="spellStart"/>
      <w:r w:rsidR="00D4616C" w:rsidRPr="001E2538">
        <w:rPr>
          <w:rFonts w:asciiTheme="minorHAnsi" w:hAnsiTheme="minorHAnsi" w:cstheme="minorHAnsi"/>
          <w:sz w:val="18"/>
          <w:szCs w:val="18"/>
        </w:rPr>
        <w:t>Malleson</w:t>
      </w:r>
      <w:proofErr w:type="spellEnd"/>
      <w:r w:rsidR="00D4616C" w:rsidRPr="001E2538">
        <w:rPr>
          <w:rFonts w:asciiTheme="minorHAnsi" w:hAnsiTheme="minorHAnsi" w:cstheme="minorHAnsi"/>
          <w:sz w:val="18"/>
          <w:szCs w:val="18"/>
        </w:rPr>
        <w:t xml:space="preserve"> n </w:t>
      </w:r>
      <w:r w:rsidR="003738E5" w:rsidRPr="001E2538">
        <w:rPr>
          <w:rFonts w:asciiTheme="minorHAnsi" w:hAnsiTheme="minorHAnsi" w:cstheme="minorHAnsi"/>
          <w:sz w:val="18"/>
          <w:szCs w:val="18"/>
        </w:rPr>
        <w:t>4</w:t>
      </w:r>
      <w:r w:rsidR="00356F07">
        <w:rPr>
          <w:rFonts w:asciiTheme="minorHAnsi" w:hAnsiTheme="minorHAnsi" w:cstheme="minorHAnsi"/>
          <w:sz w:val="18"/>
          <w:szCs w:val="18"/>
        </w:rPr>
        <w:t>6</w:t>
      </w:r>
      <w:r w:rsidR="003738E5" w:rsidRPr="001E2538">
        <w:rPr>
          <w:rFonts w:asciiTheme="minorHAnsi" w:hAnsiTheme="minorHAnsi" w:cstheme="minorHAnsi"/>
          <w:sz w:val="18"/>
          <w:szCs w:val="18"/>
        </w:rPr>
        <w:t xml:space="preserve">, </w:t>
      </w:r>
      <w:r w:rsidR="00D4616C" w:rsidRPr="001E2538">
        <w:rPr>
          <w:rFonts w:asciiTheme="minorHAnsi" w:hAnsiTheme="minorHAnsi" w:cstheme="minorHAnsi"/>
          <w:sz w:val="18"/>
          <w:szCs w:val="18"/>
        </w:rPr>
        <w:t>5-8).</w:t>
      </w:r>
    </w:p>
  </w:footnote>
  <w:footnote w:id="56">
    <w:p w14:paraId="75711318" w14:textId="26C10D15" w:rsidR="005C5D09" w:rsidRPr="001E2538" w:rsidRDefault="005C5D09"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Sandra Day O’Connor</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‘Portia’s Progress’ (1991) 66 </w:t>
      </w:r>
      <w:r w:rsidRPr="001E2538">
        <w:rPr>
          <w:rFonts w:asciiTheme="minorHAnsi" w:hAnsiTheme="minorHAnsi" w:cstheme="minorHAnsi"/>
          <w:i/>
          <w:sz w:val="18"/>
          <w:szCs w:val="18"/>
        </w:rPr>
        <w:t>New York University Law Review</w:t>
      </w:r>
      <w:r w:rsidRPr="001E2538">
        <w:rPr>
          <w:rFonts w:asciiTheme="minorHAnsi" w:hAnsiTheme="minorHAnsi" w:cstheme="minorHAnsi"/>
          <w:sz w:val="18"/>
          <w:szCs w:val="18"/>
        </w:rPr>
        <w:t xml:space="preserve"> 1546, 1557.</w:t>
      </w:r>
    </w:p>
  </w:footnote>
  <w:footnote w:id="57">
    <w:p w14:paraId="54F60206" w14:textId="571FAEBA" w:rsidR="00695ABF" w:rsidRPr="001E2538" w:rsidRDefault="00695ABF"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Hale</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n </w:t>
      </w:r>
      <w:r w:rsidR="003738E5" w:rsidRPr="001E2538">
        <w:rPr>
          <w:rFonts w:asciiTheme="minorHAnsi" w:hAnsiTheme="minorHAnsi" w:cstheme="minorHAnsi"/>
          <w:sz w:val="18"/>
          <w:szCs w:val="18"/>
        </w:rPr>
        <w:t>4</w:t>
      </w:r>
      <w:r w:rsidRPr="001E2538">
        <w:rPr>
          <w:rFonts w:asciiTheme="minorHAnsi" w:hAnsiTheme="minorHAnsi" w:cstheme="minorHAnsi"/>
          <w:sz w:val="18"/>
          <w:szCs w:val="18"/>
        </w:rPr>
        <w:t>, 499.</w:t>
      </w:r>
    </w:p>
  </w:footnote>
  <w:footnote w:id="58">
    <w:p w14:paraId="504EBB74" w14:textId="2B589A0D" w:rsidR="005C5D09" w:rsidRPr="001E2538" w:rsidRDefault="005C5D09"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proofErr w:type="spellStart"/>
      <w:r w:rsidRPr="001E2538">
        <w:rPr>
          <w:rFonts w:asciiTheme="minorHAnsi" w:hAnsiTheme="minorHAnsi" w:cstheme="minorHAnsi"/>
          <w:sz w:val="18"/>
          <w:szCs w:val="18"/>
        </w:rPr>
        <w:t>Malleson</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n </w:t>
      </w:r>
      <w:r w:rsidR="003738E5" w:rsidRPr="001E2538">
        <w:rPr>
          <w:rFonts w:asciiTheme="minorHAnsi" w:hAnsiTheme="minorHAnsi" w:cstheme="minorHAnsi"/>
          <w:sz w:val="18"/>
          <w:szCs w:val="18"/>
        </w:rPr>
        <w:t>4</w:t>
      </w:r>
      <w:r w:rsidR="00356F07">
        <w:rPr>
          <w:rFonts w:asciiTheme="minorHAnsi" w:hAnsiTheme="minorHAnsi" w:cstheme="minorHAnsi"/>
          <w:sz w:val="18"/>
          <w:szCs w:val="18"/>
        </w:rPr>
        <w:t>6</w:t>
      </w:r>
      <w:r w:rsidRPr="001E2538">
        <w:rPr>
          <w:rFonts w:asciiTheme="minorHAnsi" w:hAnsiTheme="minorHAnsi" w:cstheme="minorHAnsi"/>
          <w:sz w:val="18"/>
          <w:szCs w:val="18"/>
        </w:rPr>
        <w:t>,</w:t>
      </w:r>
      <w:r w:rsidR="00D4616C" w:rsidRPr="001E2538">
        <w:rPr>
          <w:rFonts w:asciiTheme="minorHAnsi" w:hAnsiTheme="minorHAnsi" w:cstheme="minorHAnsi"/>
          <w:sz w:val="18"/>
          <w:szCs w:val="18"/>
        </w:rPr>
        <w:t xml:space="preserve"> 1</w:t>
      </w:r>
      <w:r w:rsidRPr="001E2538">
        <w:rPr>
          <w:rFonts w:asciiTheme="minorHAnsi" w:hAnsiTheme="minorHAnsi" w:cstheme="minorHAnsi"/>
          <w:sz w:val="18"/>
          <w:szCs w:val="18"/>
        </w:rPr>
        <w:t>.</w:t>
      </w:r>
    </w:p>
  </w:footnote>
  <w:footnote w:id="59">
    <w:p w14:paraId="331D59B9" w14:textId="3B4DFF83" w:rsidR="00EB7AD4" w:rsidRPr="001E2538" w:rsidRDefault="00EB7AD4"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Lady Hale</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‘Women in the Judiciary’ Fiona Woolf Lecture, 27 June 2014. See </w:t>
      </w:r>
      <w:proofErr w:type="spellStart"/>
      <w:proofErr w:type="gramStart"/>
      <w:r w:rsidRPr="001E2538">
        <w:rPr>
          <w:rFonts w:asciiTheme="minorHAnsi" w:hAnsiTheme="minorHAnsi" w:cstheme="minorHAnsi"/>
          <w:sz w:val="18"/>
          <w:szCs w:val="18"/>
        </w:rPr>
        <w:t>eg</w:t>
      </w:r>
      <w:proofErr w:type="spellEnd"/>
      <w:proofErr w:type="gramEnd"/>
      <w:r w:rsidRPr="001E2538">
        <w:rPr>
          <w:rFonts w:asciiTheme="minorHAnsi" w:hAnsiTheme="minorHAnsi" w:cstheme="minorHAnsi"/>
          <w:sz w:val="18"/>
          <w:szCs w:val="18"/>
        </w:rPr>
        <w:t xml:space="preserve"> R</w:t>
      </w:r>
      <w:r w:rsidR="00EB2022" w:rsidRPr="001E2538">
        <w:rPr>
          <w:rFonts w:asciiTheme="minorHAnsi" w:hAnsiTheme="minorHAnsi" w:cstheme="minorHAnsi"/>
          <w:sz w:val="18"/>
          <w:szCs w:val="18"/>
        </w:rPr>
        <w:t>osalie</w:t>
      </w:r>
      <w:r w:rsidRPr="001E2538">
        <w:rPr>
          <w:rFonts w:asciiTheme="minorHAnsi" w:hAnsiTheme="minorHAnsi" w:cstheme="minorHAnsi"/>
          <w:sz w:val="18"/>
          <w:szCs w:val="18"/>
        </w:rPr>
        <w:t xml:space="preserve"> </w:t>
      </w:r>
      <w:proofErr w:type="spellStart"/>
      <w:r w:rsidRPr="001E2538">
        <w:rPr>
          <w:rFonts w:asciiTheme="minorHAnsi" w:hAnsiTheme="minorHAnsi" w:cstheme="minorHAnsi"/>
          <w:sz w:val="18"/>
          <w:szCs w:val="18"/>
        </w:rPr>
        <w:t>Arbella</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‘The </w:t>
      </w:r>
      <w:r w:rsidR="00EB2022" w:rsidRPr="001E2538">
        <w:rPr>
          <w:rFonts w:asciiTheme="minorHAnsi" w:hAnsiTheme="minorHAnsi" w:cstheme="minorHAnsi"/>
          <w:sz w:val="18"/>
          <w:szCs w:val="18"/>
        </w:rPr>
        <w:t>Dynamic</w:t>
      </w:r>
      <w:r w:rsidRPr="001E2538">
        <w:rPr>
          <w:rFonts w:asciiTheme="minorHAnsi" w:hAnsiTheme="minorHAnsi" w:cstheme="minorHAnsi"/>
          <w:sz w:val="18"/>
          <w:szCs w:val="18"/>
        </w:rPr>
        <w:t xml:space="preserve"> Nature of Equality’ in S</w:t>
      </w:r>
      <w:r w:rsidR="00EB2022" w:rsidRPr="001E2538">
        <w:rPr>
          <w:rFonts w:asciiTheme="minorHAnsi" w:hAnsiTheme="minorHAnsi" w:cstheme="minorHAnsi"/>
          <w:sz w:val="18"/>
          <w:szCs w:val="18"/>
        </w:rPr>
        <w:t>helia</w:t>
      </w:r>
      <w:r w:rsidRPr="001E2538">
        <w:rPr>
          <w:rFonts w:asciiTheme="minorHAnsi" w:hAnsiTheme="minorHAnsi" w:cstheme="minorHAnsi"/>
          <w:sz w:val="18"/>
          <w:szCs w:val="18"/>
        </w:rPr>
        <w:t xml:space="preserve"> Martin and K</w:t>
      </w:r>
      <w:r w:rsidR="00EB2022" w:rsidRPr="001E2538">
        <w:rPr>
          <w:rFonts w:asciiTheme="minorHAnsi" w:hAnsiTheme="minorHAnsi" w:cstheme="minorHAnsi"/>
          <w:sz w:val="18"/>
          <w:szCs w:val="18"/>
        </w:rPr>
        <w:t>athleen</w:t>
      </w:r>
      <w:r w:rsidRPr="001E2538">
        <w:rPr>
          <w:rFonts w:asciiTheme="minorHAnsi" w:hAnsiTheme="minorHAnsi" w:cstheme="minorHAnsi"/>
          <w:sz w:val="18"/>
          <w:szCs w:val="18"/>
        </w:rPr>
        <w:t xml:space="preserve"> </w:t>
      </w:r>
      <w:r w:rsidR="00EB2022" w:rsidRPr="001E2538">
        <w:rPr>
          <w:rFonts w:asciiTheme="minorHAnsi" w:hAnsiTheme="minorHAnsi" w:cstheme="minorHAnsi"/>
          <w:sz w:val="18"/>
          <w:szCs w:val="18"/>
        </w:rPr>
        <w:t>Ma</w:t>
      </w:r>
      <w:r w:rsidRPr="001E2538">
        <w:rPr>
          <w:rFonts w:asciiTheme="minorHAnsi" w:hAnsiTheme="minorHAnsi" w:cstheme="minorHAnsi"/>
          <w:sz w:val="18"/>
          <w:szCs w:val="18"/>
        </w:rPr>
        <w:t>honey (eds)</w:t>
      </w:r>
      <w:r w:rsidR="00DF4C18"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 xml:space="preserve">Equality and </w:t>
      </w:r>
      <w:r w:rsidR="00EB2022" w:rsidRPr="001E2538">
        <w:rPr>
          <w:rFonts w:asciiTheme="minorHAnsi" w:hAnsiTheme="minorHAnsi" w:cstheme="minorHAnsi"/>
          <w:i/>
          <w:iCs/>
          <w:sz w:val="18"/>
          <w:szCs w:val="18"/>
        </w:rPr>
        <w:t>Judicial</w:t>
      </w:r>
      <w:r w:rsidRPr="001E2538">
        <w:rPr>
          <w:rFonts w:asciiTheme="minorHAnsi" w:hAnsiTheme="minorHAnsi" w:cstheme="minorHAnsi"/>
          <w:i/>
          <w:iCs/>
          <w:sz w:val="18"/>
          <w:szCs w:val="18"/>
        </w:rPr>
        <w:t xml:space="preserve"> Neutrality </w:t>
      </w:r>
      <w:r w:rsidRPr="001E2538">
        <w:rPr>
          <w:rFonts w:asciiTheme="minorHAnsi" w:hAnsiTheme="minorHAnsi" w:cstheme="minorHAnsi"/>
          <w:sz w:val="18"/>
          <w:szCs w:val="18"/>
        </w:rPr>
        <w:t>(Carswell 1987) 3</w:t>
      </w:r>
      <w:r w:rsidR="002A4CA3" w:rsidRPr="001E2538">
        <w:rPr>
          <w:rFonts w:asciiTheme="minorHAnsi" w:hAnsiTheme="minorHAnsi" w:cstheme="minorHAnsi"/>
          <w:sz w:val="18"/>
          <w:szCs w:val="18"/>
        </w:rPr>
        <w:t>;</w:t>
      </w:r>
      <w:r w:rsidRPr="001E2538">
        <w:rPr>
          <w:rFonts w:asciiTheme="minorHAnsi" w:hAnsiTheme="minorHAnsi" w:cstheme="minorHAnsi"/>
          <w:i/>
          <w:iCs/>
          <w:sz w:val="18"/>
          <w:szCs w:val="18"/>
        </w:rPr>
        <w:t xml:space="preserve"> </w:t>
      </w:r>
      <w:r w:rsidRPr="001E2538">
        <w:rPr>
          <w:rFonts w:asciiTheme="minorHAnsi" w:hAnsiTheme="minorHAnsi" w:cstheme="minorHAnsi"/>
          <w:sz w:val="18"/>
          <w:szCs w:val="18"/>
        </w:rPr>
        <w:t xml:space="preserve">Bertha Wilson, ‘Will Women Judges really make a Difference?’ (1990) 28(3) </w:t>
      </w:r>
      <w:proofErr w:type="spellStart"/>
      <w:r w:rsidRPr="001E2538">
        <w:rPr>
          <w:rFonts w:asciiTheme="minorHAnsi" w:hAnsiTheme="minorHAnsi" w:cstheme="minorHAnsi"/>
          <w:i/>
          <w:iCs/>
          <w:sz w:val="18"/>
          <w:szCs w:val="18"/>
        </w:rPr>
        <w:t>Osgoode</w:t>
      </w:r>
      <w:proofErr w:type="spellEnd"/>
      <w:r w:rsidRPr="001E2538">
        <w:rPr>
          <w:rFonts w:asciiTheme="minorHAnsi" w:hAnsiTheme="minorHAnsi" w:cstheme="minorHAnsi"/>
          <w:i/>
          <w:iCs/>
          <w:sz w:val="18"/>
          <w:szCs w:val="18"/>
        </w:rPr>
        <w:t xml:space="preserve"> Hall Law Journal</w:t>
      </w:r>
      <w:r w:rsidR="00EB2022" w:rsidRPr="001E2538">
        <w:rPr>
          <w:rFonts w:asciiTheme="minorHAnsi" w:hAnsiTheme="minorHAnsi" w:cstheme="minorHAnsi"/>
          <w:sz w:val="18"/>
          <w:szCs w:val="18"/>
        </w:rPr>
        <w:t xml:space="preserve"> </w:t>
      </w:r>
      <w:r w:rsidRPr="001E2538">
        <w:rPr>
          <w:rFonts w:asciiTheme="minorHAnsi" w:hAnsiTheme="minorHAnsi" w:cstheme="minorHAnsi"/>
          <w:sz w:val="18"/>
          <w:szCs w:val="18"/>
        </w:rPr>
        <w:t>507; Sonia Sotomayor</w:t>
      </w:r>
      <w:r w:rsidR="004F7A5E" w:rsidRPr="001E2538">
        <w:rPr>
          <w:rFonts w:asciiTheme="minorHAnsi" w:hAnsiTheme="minorHAnsi" w:cstheme="minorHAnsi"/>
          <w:sz w:val="18"/>
          <w:szCs w:val="18"/>
        </w:rPr>
        <w:t>,</w:t>
      </w:r>
      <w:r w:rsidR="00EB2022" w:rsidRPr="001E2538">
        <w:rPr>
          <w:rFonts w:asciiTheme="minorHAnsi" w:hAnsiTheme="minorHAnsi" w:cstheme="minorHAnsi"/>
          <w:sz w:val="18"/>
          <w:szCs w:val="18"/>
        </w:rPr>
        <w:t xml:space="preserve"> </w:t>
      </w:r>
      <w:r w:rsidRPr="001E2538">
        <w:rPr>
          <w:rFonts w:asciiTheme="minorHAnsi" w:hAnsiTheme="minorHAnsi" w:cstheme="minorHAnsi"/>
          <w:sz w:val="18"/>
          <w:szCs w:val="18"/>
        </w:rPr>
        <w:t xml:space="preserve">‘A Latina Judge’s Voice’ (2002) </w:t>
      </w:r>
      <w:r w:rsidRPr="001E2538">
        <w:rPr>
          <w:rStyle w:val="Emphasis"/>
          <w:rFonts w:asciiTheme="minorHAnsi" w:hAnsiTheme="minorHAnsi" w:cstheme="minorHAnsi"/>
          <w:sz w:val="18"/>
          <w:szCs w:val="18"/>
          <w:bdr w:val="none" w:sz="0" w:space="0" w:color="auto" w:frame="1"/>
        </w:rPr>
        <w:t>Berkeley La Raza Law Journal</w:t>
      </w:r>
      <w:r w:rsidR="00D4616C" w:rsidRPr="001E2538">
        <w:rPr>
          <w:rStyle w:val="Emphasis"/>
          <w:rFonts w:asciiTheme="minorHAnsi" w:hAnsiTheme="minorHAnsi" w:cstheme="minorHAnsi"/>
          <w:sz w:val="18"/>
          <w:szCs w:val="18"/>
          <w:bdr w:val="none" w:sz="0" w:space="0" w:color="auto" w:frame="1"/>
        </w:rPr>
        <w:t xml:space="preserve"> </w:t>
      </w:r>
      <w:r w:rsidR="00D4616C" w:rsidRPr="001E2538">
        <w:rPr>
          <w:rStyle w:val="Emphasis"/>
          <w:rFonts w:asciiTheme="minorHAnsi" w:hAnsiTheme="minorHAnsi" w:cstheme="minorHAnsi"/>
          <w:i w:val="0"/>
          <w:iCs w:val="0"/>
          <w:sz w:val="18"/>
          <w:szCs w:val="18"/>
          <w:bdr w:val="none" w:sz="0" w:space="0" w:color="auto" w:frame="1"/>
        </w:rPr>
        <w:t>87</w:t>
      </w:r>
      <w:r w:rsidR="002A4CA3" w:rsidRPr="001E2538">
        <w:rPr>
          <w:rStyle w:val="Emphasis"/>
          <w:rFonts w:asciiTheme="minorHAnsi" w:hAnsiTheme="minorHAnsi" w:cstheme="minorHAnsi"/>
          <w:i w:val="0"/>
          <w:iCs w:val="0"/>
          <w:sz w:val="18"/>
          <w:szCs w:val="18"/>
          <w:bdr w:val="none" w:sz="0" w:space="0" w:color="auto" w:frame="1"/>
        </w:rPr>
        <w:t>;</w:t>
      </w:r>
      <w:r w:rsidRPr="001E2538">
        <w:rPr>
          <w:rFonts w:asciiTheme="minorHAnsi" w:hAnsiTheme="minorHAnsi" w:cstheme="minorHAnsi"/>
          <w:sz w:val="18"/>
          <w:szCs w:val="18"/>
        </w:rPr>
        <w:t xml:space="preserve"> Beverley McLachlin</w:t>
      </w:r>
      <w:r w:rsidR="004F7A5E" w:rsidRPr="001E2538">
        <w:rPr>
          <w:rFonts w:asciiTheme="minorHAnsi" w:hAnsiTheme="minorHAnsi" w:cstheme="minorHAnsi"/>
          <w:sz w:val="18"/>
          <w:szCs w:val="18"/>
        </w:rPr>
        <w:t>,</w:t>
      </w:r>
      <w:r w:rsidR="00EB2022" w:rsidRPr="001E2538">
        <w:rPr>
          <w:rFonts w:asciiTheme="minorHAnsi" w:hAnsiTheme="minorHAnsi" w:cstheme="minorHAnsi"/>
          <w:sz w:val="18"/>
          <w:szCs w:val="18"/>
        </w:rPr>
        <w:t xml:space="preserve"> </w:t>
      </w:r>
      <w:r w:rsidRPr="001E2538">
        <w:rPr>
          <w:rFonts w:asciiTheme="minorHAnsi" w:hAnsiTheme="minorHAnsi" w:cstheme="minorHAnsi"/>
          <w:sz w:val="18"/>
          <w:szCs w:val="18"/>
        </w:rPr>
        <w:t>‘Promoting Gender Equality in the Judiciary’, Seminar to the Association of Women Barristers, House of Commons, 2 July 2003</w:t>
      </w:r>
      <w:r w:rsidR="002A4CA3" w:rsidRPr="001E2538">
        <w:rPr>
          <w:rFonts w:asciiTheme="minorHAnsi" w:hAnsiTheme="minorHAnsi" w:cstheme="minorHAnsi"/>
          <w:sz w:val="18"/>
          <w:szCs w:val="18"/>
        </w:rPr>
        <w:t>;</w:t>
      </w:r>
      <w:r w:rsidRPr="001E2538">
        <w:rPr>
          <w:rFonts w:asciiTheme="minorHAnsi" w:hAnsiTheme="minorHAnsi" w:cstheme="minorHAnsi"/>
          <w:sz w:val="18"/>
          <w:szCs w:val="18"/>
        </w:rPr>
        <w:t xml:space="preserve"> Joan </w:t>
      </w:r>
      <w:proofErr w:type="spellStart"/>
      <w:r w:rsidRPr="001E2538">
        <w:rPr>
          <w:rFonts w:asciiTheme="minorHAnsi" w:hAnsiTheme="minorHAnsi" w:cstheme="minorHAnsi"/>
          <w:sz w:val="18"/>
          <w:szCs w:val="18"/>
        </w:rPr>
        <w:t>Biskupiz</w:t>
      </w:r>
      <w:proofErr w:type="spellEnd"/>
      <w:r w:rsidR="004F7A5E" w:rsidRPr="001E2538">
        <w:rPr>
          <w:rFonts w:asciiTheme="minorHAnsi" w:hAnsiTheme="minorHAnsi" w:cstheme="minorHAnsi"/>
          <w:sz w:val="18"/>
          <w:szCs w:val="18"/>
        </w:rPr>
        <w:t>,</w:t>
      </w:r>
      <w:r w:rsidR="00EB2022" w:rsidRPr="001E2538">
        <w:rPr>
          <w:rFonts w:asciiTheme="minorHAnsi" w:hAnsiTheme="minorHAnsi" w:cstheme="minorHAnsi"/>
          <w:sz w:val="18"/>
          <w:szCs w:val="18"/>
        </w:rPr>
        <w:t xml:space="preserve"> </w:t>
      </w:r>
      <w:r w:rsidRPr="001E2538">
        <w:rPr>
          <w:rFonts w:asciiTheme="minorHAnsi" w:hAnsiTheme="minorHAnsi" w:cstheme="minorHAnsi"/>
          <w:sz w:val="18"/>
          <w:szCs w:val="18"/>
        </w:rPr>
        <w:t>‘Ginsburg: Court needs another woman’</w:t>
      </w:r>
      <w:r w:rsidR="00EB2022" w:rsidRPr="001E2538">
        <w:rPr>
          <w:rFonts w:asciiTheme="minorHAnsi" w:hAnsiTheme="minorHAnsi" w:cstheme="minorHAnsi"/>
          <w:sz w:val="18"/>
          <w:szCs w:val="18"/>
        </w:rPr>
        <w:t xml:space="preserve"> </w:t>
      </w:r>
      <w:r w:rsidRPr="001E2538">
        <w:rPr>
          <w:rFonts w:asciiTheme="minorHAnsi" w:hAnsiTheme="minorHAnsi" w:cstheme="minorHAnsi"/>
          <w:i/>
          <w:sz w:val="18"/>
          <w:szCs w:val="18"/>
        </w:rPr>
        <w:t>USA Today</w:t>
      </w:r>
      <w:r w:rsidRPr="001E2538">
        <w:rPr>
          <w:rFonts w:asciiTheme="minorHAnsi" w:hAnsiTheme="minorHAnsi" w:cstheme="minorHAnsi"/>
          <w:sz w:val="18"/>
          <w:szCs w:val="18"/>
        </w:rPr>
        <w:t>, 10 May 2009; Patricia M Wald</w:t>
      </w:r>
      <w:r w:rsidR="004F7A5E" w:rsidRPr="001E2538">
        <w:rPr>
          <w:rFonts w:asciiTheme="minorHAnsi" w:hAnsiTheme="minorHAnsi" w:cstheme="minorHAnsi"/>
          <w:sz w:val="18"/>
          <w:szCs w:val="18"/>
        </w:rPr>
        <w:t>,</w:t>
      </w:r>
      <w:r w:rsidR="00EB2022" w:rsidRPr="001E2538">
        <w:rPr>
          <w:rFonts w:asciiTheme="minorHAnsi" w:hAnsiTheme="minorHAnsi" w:cstheme="minorHAnsi"/>
          <w:sz w:val="18"/>
          <w:szCs w:val="18"/>
        </w:rPr>
        <w:t xml:space="preserve"> </w:t>
      </w:r>
      <w:r w:rsidRPr="001E2538">
        <w:rPr>
          <w:rFonts w:asciiTheme="minorHAnsi" w:hAnsiTheme="minorHAnsi" w:cstheme="minorHAnsi"/>
          <w:sz w:val="18"/>
          <w:szCs w:val="18"/>
        </w:rPr>
        <w:t>‘Women on International Courts: Some Lessons Learned’</w:t>
      </w:r>
      <w:r w:rsidR="006F7509" w:rsidRPr="001E2538">
        <w:rPr>
          <w:rFonts w:asciiTheme="minorHAnsi" w:hAnsiTheme="minorHAnsi" w:cstheme="minorHAnsi"/>
          <w:sz w:val="18"/>
          <w:szCs w:val="18"/>
        </w:rPr>
        <w:t xml:space="preserve"> (2011) 11</w:t>
      </w:r>
      <w:r w:rsidRPr="001E2538">
        <w:rPr>
          <w:rFonts w:asciiTheme="minorHAnsi" w:hAnsiTheme="minorHAnsi" w:cstheme="minorHAnsi"/>
          <w:sz w:val="18"/>
          <w:szCs w:val="18"/>
        </w:rPr>
        <w:t xml:space="preserve"> </w:t>
      </w:r>
      <w:r w:rsidRPr="001E2538">
        <w:rPr>
          <w:rFonts w:asciiTheme="minorHAnsi" w:hAnsiTheme="minorHAnsi" w:cstheme="minorHAnsi"/>
          <w:i/>
          <w:sz w:val="18"/>
          <w:szCs w:val="18"/>
        </w:rPr>
        <w:t>International Criminal Law Review</w:t>
      </w:r>
      <w:r w:rsidRPr="001E2538">
        <w:rPr>
          <w:rFonts w:asciiTheme="minorHAnsi" w:hAnsiTheme="minorHAnsi" w:cstheme="minorHAnsi"/>
          <w:sz w:val="18"/>
          <w:szCs w:val="18"/>
        </w:rPr>
        <w:t xml:space="preserve"> 401,</w:t>
      </w:r>
      <w:r w:rsidR="00EB2022" w:rsidRPr="001E2538">
        <w:rPr>
          <w:rFonts w:asciiTheme="minorHAnsi" w:hAnsiTheme="minorHAnsi" w:cstheme="minorHAnsi"/>
          <w:sz w:val="18"/>
          <w:szCs w:val="18"/>
        </w:rPr>
        <w:t xml:space="preserve"> 4</w:t>
      </w:r>
      <w:r w:rsidRPr="001E2538">
        <w:rPr>
          <w:rFonts w:asciiTheme="minorHAnsi" w:hAnsiTheme="minorHAnsi" w:cstheme="minorHAnsi"/>
          <w:sz w:val="18"/>
          <w:szCs w:val="18"/>
        </w:rPr>
        <w:t>03-404.</w:t>
      </w:r>
    </w:p>
  </w:footnote>
  <w:footnote w:id="60">
    <w:p w14:paraId="740A86E1" w14:textId="7CCF4F72" w:rsidR="00695ABF" w:rsidRPr="001E2538" w:rsidRDefault="00695ABF"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Susan Atkins and Brenda </w:t>
      </w:r>
      <w:proofErr w:type="spellStart"/>
      <w:r w:rsidRPr="001E2538">
        <w:rPr>
          <w:rFonts w:asciiTheme="minorHAnsi" w:hAnsiTheme="minorHAnsi" w:cstheme="minorHAnsi"/>
          <w:sz w:val="18"/>
          <w:szCs w:val="18"/>
        </w:rPr>
        <w:t>Hogett</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proofErr w:type="gramStart"/>
      <w:r w:rsidRPr="001E2538">
        <w:rPr>
          <w:rFonts w:asciiTheme="minorHAnsi" w:hAnsiTheme="minorHAnsi" w:cstheme="minorHAnsi"/>
          <w:i/>
          <w:iCs/>
          <w:sz w:val="18"/>
          <w:szCs w:val="18"/>
        </w:rPr>
        <w:t>Women</w:t>
      </w:r>
      <w:proofErr w:type="gramEnd"/>
      <w:r w:rsidRPr="001E2538">
        <w:rPr>
          <w:rFonts w:asciiTheme="minorHAnsi" w:hAnsiTheme="minorHAnsi" w:cstheme="minorHAnsi"/>
          <w:i/>
          <w:iCs/>
          <w:sz w:val="18"/>
          <w:szCs w:val="18"/>
        </w:rPr>
        <w:t xml:space="preserve"> and the </w:t>
      </w:r>
      <w:r w:rsidRPr="001E2538">
        <w:rPr>
          <w:rFonts w:asciiTheme="minorHAnsi" w:hAnsiTheme="minorHAnsi" w:cstheme="minorHAnsi"/>
          <w:sz w:val="18"/>
          <w:szCs w:val="18"/>
        </w:rPr>
        <w:t>Law (Basil Blackwell</w:t>
      </w:r>
      <w:r w:rsidR="000829FD" w:rsidRPr="001E2538">
        <w:rPr>
          <w:rFonts w:asciiTheme="minorHAnsi" w:hAnsiTheme="minorHAnsi" w:cstheme="minorHAnsi"/>
          <w:sz w:val="18"/>
          <w:szCs w:val="18"/>
        </w:rPr>
        <w:t xml:space="preserve"> </w:t>
      </w:r>
      <w:r w:rsidRPr="001E2538">
        <w:rPr>
          <w:rFonts w:asciiTheme="minorHAnsi" w:hAnsiTheme="minorHAnsi" w:cstheme="minorHAnsi"/>
          <w:sz w:val="18"/>
          <w:szCs w:val="18"/>
        </w:rPr>
        <w:t>1984; r</w:t>
      </w:r>
      <w:r w:rsidR="006F7509" w:rsidRPr="001E2538">
        <w:rPr>
          <w:rFonts w:asciiTheme="minorHAnsi" w:hAnsiTheme="minorHAnsi" w:cstheme="minorHAnsi"/>
          <w:sz w:val="18"/>
          <w:szCs w:val="18"/>
        </w:rPr>
        <w:t>e</w:t>
      </w:r>
      <w:r w:rsidRPr="001E2538">
        <w:rPr>
          <w:rFonts w:asciiTheme="minorHAnsi" w:hAnsiTheme="minorHAnsi" w:cstheme="minorHAnsi"/>
          <w:sz w:val="18"/>
          <w:szCs w:val="18"/>
        </w:rPr>
        <w:t>print IALS 2018) 243.</w:t>
      </w:r>
    </w:p>
  </w:footnote>
  <w:footnote w:id="61">
    <w:p w14:paraId="2DBF0A8E" w14:textId="230EEEE0" w:rsidR="00694502" w:rsidRPr="00356F07" w:rsidRDefault="00694502"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Rose </w:t>
      </w:r>
      <w:proofErr w:type="spellStart"/>
      <w:r w:rsidRPr="001E2538">
        <w:rPr>
          <w:rFonts w:asciiTheme="minorHAnsi" w:hAnsiTheme="minorHAnsi" w:cstheme="minorHAnsi"/>
          <w:sz w:val="18"/>
          <w:szCs w:val="18"/>
        </w:rPr>
        <w:t>He</w:t>
      </w:r>
      <w:r w:rsidR="00B81EAE" w:rsidRPr="001E2538">
        <w:rPr>
          <w:rFonts w:asciiTheme="minorHAnsi" w:hAnsiTheme="minorHAnsi" w:cstheme="minorHAnsi"/>
          <w:sz w:val="18"/>
          <w:szCs w:val="18"/>
        </w:rPr>
        <w:t>i</w:t>
      </w:r>
      <w:r w:rsidRPr="001E2538">
        <w:rPr>
          <w:rFonts w:asciiTheme="minorHAnsi" w:hAnsiTheme="minorHAnsi" w:cstheme="minorHAnsi"/>
          <w:sz w:val="18"/>
          <w:szCs w:val="18"/>
        </w:rPr>
        <w:t>lbron</w:t>
      </w:r>
      <w:proofErr w:type="spellEnd"/>
      <w:r w:rsidRPr="001E2538">
        <w:rPr>
          <w:rFonts w:asciiTheme="minorHAnsi" w:hAnsiTheme="minorHAnsi" w:cstheme="minorHAnsi"/>
          <w:sz w:val="18"/>
          <w:szCs w:val="18"/>
        </w:rPr>
        <w:t xml:space="preserve"> was finally appointed to the High Court bench in 1974. See further Joan Bevan</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‘Modern </w:t>
      </w:r>
      <w:proofErr w:type="spellStart"/>
      <w:r w:rsidRPr="001E2538">
        <w:rPr>
          <w:rFonts w:asciiTheme="minorHAnsi" w:hAnsiTheme="minorHAnsi" w:cstheme="minorHAnsi"/>
          <w:sz w:val="18"/>
          <w:szCs w:val="18"/>
        </w:rPr>
        <w:t>Portias</w:t>
      </w:r>
      <w:proofErr w:type="spellEnd"/>
      <w:r w:rsidRPr="001E2538">
        <w:rPr>
          <w:rFonts w:asciiTheme="minorHAnsi" w:hAnsiTheme="minorHAnsi" w:cstheme="minorHAnsi"/>
          <w:sz w:val="18"/>
          <w:szCs w:val="18"/>
        </w:rPr>
        <w:t xml:space="preserve">’ (1952) 45(4) </w:t>
      </w:r>
      <w:r w:rsidRPr="001E2538">
        <w:rPr>
          <w:rFonts w:asciiTheme="minorHAnsi" w:hAnsiTheme="minorHAnsi" w:cstheme="minorHAnsi"/>
          <w:i/>
          <w:iCs/>
          <w:sz w:val="18"/>
          <w:szCs w:val="18"/>
        </w:rPr>
        <w:t>Britannia and Eve</w:t>
      </w:r>
      <w:r w:rsidRPr="001E2538">
        <w:rPr>
          <w:rFonts w:asciiTheme="minorHAnsi" w:hAnsiTheme="minorHAnsi" w:cstheme="minorHAnsi"/>
          <w:sz w:val="18"/>
          <w:szCs w:val="18"/>
        </w:rPr>
        <w:t xml:space="preserve"> 40, 41; Rhona Churchill</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‘It's no holds barred when Rose QC pleads: But at home she’s just the doctor’s wife’ </w:t>
      </w:r>
      <w:r w:rsidRPr="001E2538">
        <w:rPr>
          <w:rFonts w:asciiTheme="minorHAnsi" w:hAnsiTheme="minorHAnsi" w:cstheme="minorHAnsi"/>
          <w:i/>
          <w:iCs/>
          <w:sz w:val="18"/>
          <w:szCs w:val="18"/>
        </w:rPr>
        <w:t>Daily Mail</w:t>
      </w:r>
      <w:r w:rsidRPr="001E2538">
        <w:rPr>
          <w:rFonts w:asciiTheme="minorHAnsi" w:hAnsiTheme="minorHAnsi" w:cstheme="minorHAnsi"/>
          <w:sz w:val="18"/>
          <w:szCs w:val="18"/>
        </w:rPr>
        <w:t xml:space="preserve"> 13 September 1955; </w:t>
      </w:r>
      <w:proofErr w:type="spellStart"/>
      <w:r w:rsidRPr="001E2538">
        <w:rPr>
          <w:rFonts w:asciiTheme="minorHAnsi" w:hAnsiTheme="minorHAnsi" w:cstheme="minorHAnsi"/>
          <w:sz w:val="18"/>
          <w:szCs w:val="18"/>
        </w:rPr>
        <w:t>Heilbron</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00356F07">
        <w:rPr>
          <w:rFonts w:asciiTheme="minorHAnsi" w:hAnsiTheme="minorHAnsi" w:cstheme="minorHAnsi"/>
          <w:sz w:val="18"/>
          <w:szCs w:val="18"/>
        </w:rPr>
        <w:t>n 13.</w:t>
      </w:r>
    </w:p>
  </w:footnote>
  <w:footnote w:id="62">
    <w:p w14:paraId="52E56112" w14:textId="101BA3F0" w:rsidR="00695ABF" w:rsidRPr="001E2538" w:rsidRDefault="00695ABF" w:rsidP="00E723E9">
      <w:pPr>
        <w:adjustRightInd w:val="0"/>
        <w:snapToGrid w:val="0"/>
        <w:rPr>
          <w:rFonts w:cstheme="minorHAnsi"/>
          <w:sz w:val="18"/>
          <w:szCs w:val="18"/>
        </w:rPr>
      </w:pPr>
      <w:r w:rsidRPr="001E2538">
        <w:rPr>
          <w:rStyle w:val="FootnoteReference"/>
          <w:rFonts w:cstheme="minorHAnsi"/>
          <w:sz w:val="18"/>
          <w:szCs w:val="18"/>
        </w:rPr>
        <w:footnoteRef/>
      </w:r>
      <w:r w:rsidRPr="001E2538">
        <w:rPr>
          <w:rFonts w:cstheme="minorHAnsi"/>
          <w:sz w:val="18"/>
          <w:szCs w:val="18"/>
        </w:rPr>
        <w:t xml:space="preserve"> </w:t>
      </w:r>
      <w:r w:rsidRPr="001E2538">
        <w:rPr>
          <w:rFonts w:cstheme="minorHAnsi"/>
          <w:sz w:val="18"/>
          <w:szCs w:val="18"/>
        </w:rPr>
        <w:tab/>
      </w:r>
      <w:r w:rsidRPr="001E2538">
        <w:rPr>
          <w:rFonts w:cstheme="minorHAnsi"/>
          <w:sz w:val="18"/>
          <w:szCs w:val="18"/>
          <w:shd w:val="clear" w:color="auto" w:fill="FFFFFF"/>
        </w:rPr>
        <w:t xml:space="preserve">[1983] 1 WLR 279, 284. </w:t>
      </w:r>
      <w:proofErr w:type="spellStart"/>
      <w:r w:rsidR="00FE47B4" w:rsidRPr="001E2538">
        <w:rPr>
          <w:rFonts w:cstheme="minorHAnsi"/>
          <w:sz w:val="18"/>
          <w:szCs w:val="18"/>
          <w:shd w:val="clear" w:color="auto" w:fill="FFFFFF"/>
        </w:rPr>
        <w:t>Helibron’s</w:t>
      </w:r>
      <w:proofErr w:type="spellEnd"/>
      <w:r w:rsidR="00FE47B4" w:rsidRPr="001E2538">
        <w:rPr>
          <w:rFonts w:cstheme="minorHAnsi"/>
          <w:sz w:val="18"/>
          <w:szCs w:val="18"/>
          <w:shd w:val="clear" w:color="auto" w:fill="FFFFFF"/>
        </w:rPr>
        <w:t xml:space="preserve"> judgment is an early example of a ‘real-life’ feminist judgment.</w:t>
      </w:r>
    </w:p>
  </w:footnote>
  <w:footnote w:id="63">
    <w:p w14:paraId="590E6C93" w14:textId="78748400" w:rsidR="00FE47B4" w:rsidRPr="001E2538" w:rsidRDefault="00FE47B4"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proofErr w:type="spellStart"/>
      <w:r w:rsidRPr="001E2538">
        <w:rPr>
          <w:rFonts w:asciiTheme="minorHAnsi" w:hAnsiTheme="minorHAnsi" w:cstheme="minorHAnsi"/>
          <w:sz w:val="18"/>
          <w:szCs w:val="18"/>
        </w:rPr>
        <w:t>Arbella</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n </w:t>
      </w:r>
      <w:r w:rsidR="003738E5" w:rsidRPr="001E2538">
        <w:rPr>
          <w:rFonts w:asciiTheme="minorHAnsi" w:hAnsiTheme="minorHAnsi" w:cstheme="minorHAnsi"/>
          <w:sz w:val="18"/>
          <w:szCs w:val="18"/>
        </w:rPr>
        <w:t>5</w:t>
      </w:r>
      <w:r w:rsidR="00356F07">
        <w:rPr>
          <w:rFonts w:asciiTheme="minorHAnsi" w:hAnsiTheme="minorHAnsi" w:cstheme="minorHAnsi"/>
          <w:sz w:val="18"/>
          <w:szCs w:val="18"/>
        </w:rPr>
        <w:t>8</w:t>
      </w:r>
      <w:r w:rsidR="003738E5" w:rsidRPr="001E2538">
        <w:rPr>
          <w:rFonts w:asciiTheme="minorHAnsi" w:hAnsiTheme="minorHAnsi" w:cstheme="minorHAnsi"/>
          <w:sz w:val="18"/>
          <w:szCs w:val="18"/>
        </w:rPr>
        <w:t>,</w:t>
      </w:r>
      <w:r w:rsidRPr="001E2538">
        <w:rPr>
          <w:rFonts w:asciiTheme="minorHAnsi" w:hAnsiTheme="minorHAnsi" w:cstheme="minorHAnsi"/>
          <w:sz w:val="18"/>
          <w:szCs w:val="18"/>
        </w:rPr>
        <w:t xml:space="preserve"> 8-9.</w:t>
      </w:r>
    </w:p>
  </w:footnote>
  <w:footnote w:id="64">
    <w:p w14:paraId="1E3AA9E8" w14:textId="4BF7EE2C" w:rsidR="000D3787" w:rsidRPr="001E2538" w:rsidRDefault="000D3787"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FE47B4" w:rsidRPr="001E2538">
        <w:rPr>
          <w:rFonts w:asciiTheme="minorHAnsi" w:hAnsiTheme="minorHAnsi" w:cstheme="minorHAnsi"/>
          <w:sz w:val="18"/>
          <w:szCs w:val="18"/>
        </w:rPr>
        <w:t>B N Cardozo</w:t>
      </w:r>
      <w:r w:rsidR="004F7A5E" w:rsidRPr="001E2538">
        <w:rPr>
          <w:rFonts w:asciiTheme="minorHAnsi" w:hAnsiTheme="minorHAnsi" w:cstheme="minorHAnsi"/>
          <w:sz w:val="18"/>
          <w:szCs w:val="18"/>
        </w:rPr>
        <w:t>,</w:t>
      </w:r>
      <w:r w:rsidR="00FE47B4" w:rsidRPr="001E2538">
        <w:rPr>
          <w:rFonts w:asciiTheme="minorHAnsi" w:hAnsiTheme="minorHAnsi" w:cstheme="minorHAnsi"/>
          <w:sz w:val="18"/>
          <w:szCs w:val="18"/>
        </w:rPr>
        <w:t xml:space="preserve"> </w:t>
      </w:r>
      <w:r w:rsidR="00FE47B4" w:rsidRPr="001E2538">
        <w:rPr>
          <w:rFonts w:asciiTheme="minorHAnsi" w:hAnsiTheme="minorHAnsi" w:cstheme="minorHAnsi"/>
          <w:i/>
          <w:sz w:val="18"/>
          <w:szCs w:val="18"/>
        </w:rPr>
        <w:t>The Nature of the Judicial Process</w:t>
      </w:r>
      <w:r w:rsidR="00FE47B4" w:rsidRPr="001E2538">
        <w:rPr>
          <w:rFonts w:asciiTheme="minorHAnsi" w:hAnsiTheme="minorHAnsi" w:cstheme="minorHAnsi"/>
          <w:sz w:val="18"/>
          <w:szCs w:val="18"/>
        </w:rPr>
        <w:t xml:space="preserve"> (Yale University Press 1921) 177.</w:t>
      </w:r>
    </w:p>
  </w:footnote>
  <w:footnote w:id="65">
    <w:p w14:paraId="48AE05AA" w14:textId="203CA997" w:rsidR="00BF3E2A" w:rsidRPr="001E2538" w:rsidRDefault="00BF3E2A">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The Whitley Committee, named after its chair, J H Whitley MP, was a Government Committee established in 1916 to consider relations between employers and employees</w:t>
      </w:r>
      <w:r w:rsidR="003D49F5" w:rsidRPr="001E2538">
        <w:rPr>
          <w:rFonts w:asciiTheme="minorHAnsi" w:hAnsiTheme="minorHAnsi" w:cstheme="minorHAnsi"/>
          <w:sz w:val="18"/>
          <w:szCs w:val="18"/>
        </w:rPr>
        <w:t xml:space="preserve"> </w:t>
      </w:r>
      <w:proofErr w:type="gramStart"/>
      <w:r w:rsidR="003D49F5" w:rsidRPr="001E2538">
        <w:rPr>
          <w:rFonts w:asciiTheme="minorHAnsi" w:hAnsiTheme="minorHAnsi" w:cstheme="minorHAnsi"/>
          <w:sz w:val="18"/>
          <w:szCs w:val="18"/>
        </w:rPr>
        <w:t>in light of</w:t>
      </w:r>
      <w:proofErr w:type="gramEnd"/>
      <w:r w:rsidR="003D49F5" w:rsidRPr="001E2538">
        <w:rPr>
          <w:rFonts w:asciiTheme="minorHAnsi" w:hAnsiTheme="minorHAnsi" w:cstheme="minorHAnsi"/>
          <w:sz w:val="18"/>
          <w:szCs w:val="18"/>
        </w:rPr>
        <w:t xml:space="preserve"> the disturbances being caused by the Shop Stewards’ Movement. The Committee produced five reports which were well received by employers and employees and its recommendation were adopted by the Government. </w:t>
      </w:r>
    </w:p>
  </w:footnote>
  <w:footnote w:id="66">
    <w:p w14:paraId="39E61834" w14:textId="72188EE2" w:rsidR="000829FD" w:rsidRPr="001E2538" w:rsidRDefault="000829F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A17E2B">
        <w:rPr>
          <w:rFonts w:asciiTheme="minorHAnsi" w:hAnsiTheme="minorHAnsi" w:cstheme="minorHAnsi"/>
          <w:sz w:val="18"/>
          <w:szCs w:val="18"/>
        </w:rPr>
        <w:t xml:space="preserve">Hansard, </w:t>
      </w:r>
      <w:r w:rsidR="008803BC" w:rsidRPr="001E2538">
        <w:rPr>
          <w:rFonts w:asciiTheme="minorHAnsi" w:hAnsiTheme="minorHAnsi" w:cstheme="minorHAnsi"/>
          <w:sz w:val="18"/>
          <w:szCs w:val="18"/>
        </w:rPr>
        <w:t>‘</w:t>
      </w:r>
      <w:r w:rsidRPr="001E2538">
        <w:rPr>
          <w:rFonts w:asciiTheme="minorHAnsi" w:hAnsiTheme="minorHAnsi" w:cstheme="minorHAnsi"/>
          <w:sz w:val="18"/>
          <w:szCs w:val="18"/>
        </w:rPr>
        <w:t>Industrial Courts Bill</w:t>
      </w:r>
      <w:r w:rsidR="008803BC" w:rsidRPr="001E2538">
        <w:rPr>
          <w:rFonts w:asciiTheme="minorHAnsi" w:hAnsiTheme="minorHAnsi" w:cstheme="minorHAnsi"/>
          <w:sz w:val="18"/>
          <w:szCs w:val="18"/>
        </w:rPr>
        <w:t>’</w:t>
      </w:r>
      <w:r w:rsidRPr="001E2538">
        <w:rPr>
          <w:rFonts w:asciiTheme="minorHAnsi" w:hAnsiTheme="minorHAnsi" w:cstheme="minorHAnsi"/>
          <w:sz w:val="18"/>
          <w:szCs w:val="18"/>
        </w:rPr>
        <w:t xml:space="preserve"> HC Deb, vol 121 col 134</w:t>
      </w:r>
      <w:r w:rsidR="00A17E2B">
        <w:rPr>
          <w:rFonts w:asciiTheme="minorHAnsi" w:hAnsiTheme="minorHAnsi" w:cstheme="minorHAnsi"/>
          <w:sz w:val="18"/>
          <w:szCs w:val="18"/>
        </w:rPr>
        <w:t xml:space="preserve"> (</w:t>
      </w:r>
      <w:r w:rsidR="00A17E2B" w:rsidRPr="001E2538">
        <w:rPr>
          <w:rFonts w:asciiTheme="minorHAnsi" w:hAnsiTheme="minorHAnsi" w:cstheme="minorHAnsi"/>
          <w:sz w:val="18"/>
          <w:szCs w:val="18"/>
        </w:rPr>
        <w:t>10 November 1919</w:t>
      </w:r>
      <w:r w:rsidR="00A17E2B">
        <w:rPr>
          <w:rFonts w:asciiTheme="minorHAnsi" w:hAnsiTheme="minorHAnsi" w:cstheme="minorHAnsi"/>
          <w:sz w:val="18"/>
          <w:szCs w:val="18"/>
        </w:rPr>
        <w:t>)</w:t>
      </w:r>
      <w:r w:rsidRPr="001E2538">
        <w:rPr>
          <w:rFonts w:asciiTheme="minorHAnsi" w:hAnsiTheme="minorHAnsi" w:cstheme="minorHAnsi"/>
          <w:sz w:val="18"/>
          <w:szCs w:val="18"/>
        </w:rPr>
        <w:t>.</w:t>
      </w:r>
    </w:p>
  </w:footnote>
  <w:footnote w:id="67">
    <w:p w14:paraId="4EBE4315" w14:textId="74EBEA1A" w:rsidR="000829FD" w:rsidRPr="001E2538" w:rsidRDefault="000829FD" w:rsidP="00E723E9">
      <w:pPr>
        <w:adjustRightInd w:val="0"/>
        <w:snapToGrid w:val="0"/>
        <w:rPr>
          <w:rFonts w:cstheme="minorHAnsi"/>
          <w:sz w:val="18"/>
          <w:szCs w:val="18"/>
        </w:rPr>
      </w:pPr>
      <w:r w:rsidRPr="001E2538">
        <w:rPr>
          <w:rStyle w:val="FootnoteReference"/>
          <w:rFonts w:cstheme="minorHAnsi"/>
          <w:sz w:val="18"/>
          <w:szCs w:val="18"/>
        </w:rPr>
        <w:footnoteRef/>
      </w:r>
      <w:r w:rsidRPr="001E2538">
        <w:rPr>
          <w:rFonts w:cstheme="minorHAnsi"/>
          <w:sz w:val="18"/>
          <w:szCs w:val="18"/>
        </w:rPr>
        <w:t xml:space="preserve"> </w:t>
      </w:r>
      <w:r w:rsidRPr="001E2538">
        <w:rPr>
          <w:rFonts w:cstheme="minorHAnsi"/>
          <w:sz w:val="18"/>
          <w:szCs w:val="18"/>
        </w:rPr>
        <w:tab/>
        <w:t>ibid, col 149.</w:t>
      </w:r>
      <w:r w:rsidR="008A415E" w:rsidRPr="001E2538">
        <w:rPr>
          <w:rFonts w:cstheme="minorHAnsi"/>
          <w:sz w:val="18"/>
          <w:szCs w:val="18"/>
        </w:rPr>
        <w:t xml:space="preserve"> The Sex (Disqualification) Removal Act 1919 enabled women to join the legal and other professions, to sit as jurors and magistrates and, with some caveats, to enter the higher ranks of the Civil Service.</w:t>
      </w:r>
    </w:p>
  </w:footnote>
  <w:footnote w:id="68">
    <w:p w14:paraId="4782DB23" w14:textId="660BDFC6" w:rsidR="000829FD" w:rsidRPr="001E2538" w:rsidRDefault="000829F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See, </w:t>
      </w:r>
      <w:proofErr w:type="spellStart"/>
      <w:r w:rsidRPr="001E2538">
        <w:rPr>
          <w:rFonts w:asciiTheme="minorHAnsi" w:hAnsiTheme="minorHAnsi" w:cstheme="minorHAnsi"/>
          <w:sz w:val="18"/>
          <w:szCs w:val="18"/>
        </w:rPr>
        <w:t>eg</w:t>
      </w:r>
      <w:proofErr w:type="spellEnd"/>
      <w:r w:rsidRPr="001E2538">
        <w:rPr>
          <w:rFonts w:asciiTheme="minorHAnsi" w:hAnsiTheme="minorHAnsi" w:cstheme="minorHAnsi"/>
          <w:sz w:val="18"/>
          <w:szCs w:val="18"/>
        </w:rPr>
        <w:t>, Horne MP ibid, col 138.</w:t>
      </w:r>
    </w:p>
  </w:footnote>
  <w:footnote w:id="69">
    <w:p w14:paraId="62DBA5D5" w14:textId="0AD99F22" w:rsidR="000829FD" w:rsidRPr="001E2538" w:rsidRDefault="000829F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ibid col 137.</w:t>
      </w:r>
    </w:p>
  </w:footnote>
  <w:footnote w:id="70">
    <w:p w14:paraId="0EBEC0CA" w14:textId="58C7FA49" w:rsidR="000829FD" w:rsidRPr="001E2538" w:rsidRDefault="000829F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ibid col 140-141.</w:t>
      </w:r>
    </w:p>
  </w:footnote>
  <w:footnote w:id="71">
    <w:p w14:paraId="546B010D" w14:textId="79C6045D" w:rsidR="00BA09ED" w:rsidRPr="001E2538" w:rsidRDefault="00BA09E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ibid col 138</w:t>
      </w:r>
      <w:r w:rsidR="00C42470" w:rsidRPr="001E2538">
        <w:rPr>
          <w:rFonts w:asciiTheme="minorHAnsi" w:hAnsiTheme="minorHAnsi" w:cstheme="minorHAnsi"/>
          <w:sz w:val="18"/>
          <w:szCs w:val="18"/>
        </w:rPr>
        <w:t>.</w:t>
      </w:r>
    </w:p>
  </w:footnote>
  <w:footnote w:id="72">
    <w:p w14:paraId="54982E07" w14:textId="1E93048F" w:rsidR="00BA09ED" w:rsidRPr="001E2538" w:rsidRDefault="00BA09E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C42470" w:rsidRPr="001E2538">
        <w:rPr>
          <w:rFonts w:asciiTheme="minorHAnsi" w:hAnsiTheme="minorHAnsi" w:cstheme="minorHAnsi"/>
          <w:sz w:val="18"/>
          <w:szCs w:val="18"/>
        </w:rPr>
        <w:t>i</w:t>
      </w:r>
      <w:r w:rsidRPr="001E2538">
        <w:rPr>
          <w:rFonts w:asciiTheme="minorHAnsi" w:hAnsiTheme="minorHAnsi" w:cstheme="minorHAnsi"/>
          <w:sz w:val="18"/>
          <w:szCs w:val="18"/>
        </w:rPr>
        <w:t>bid col 137-138.</w:t>
      </w:r>
    </w:p>
  </w:footnote>
  <w:footnote w:id="73">
    <w:p w14:paraId="653EAD5B" w14:textId="77777777" w:rsidR="00B7309B" w:rsidRPr="001E2538" w:rsidRDefault="00B7309B"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ibid col 138.</w:t>
      </w:r>
    </w:p>
  </w:footnote>
  <w:footnote w:id="74">
    <w:p w14:paraId="668B728E" w14:textId="59BAA24F" w:rsidR="00BA09ED" w:rsidRPr="001E2538" w:rsidRDefault="00BA09E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C42470" w:rsidRPr="001E2538">
        <w:rPr>
          <w:rFonts w:asciiTheme="minorHAnsi" w:hAnsiTheme="minorHAnsi" w:cstheme="minorHAnsi"/>
          <w:sz w:val="18"/>
          <w:szCs w:val="18"/>
        </w:rPr>
        <w:t>i</w:t>
      </w:r>
      <w:r w:rsidRPr="001E2538">
        <w:rPr>
          <w:rFonts w:asciiTheme="minorHAnsi" w:hAnsiTheme="minorHAnsi" w:cstheme="minorHAnsi"/>
          <w:sz w:val="18"/>
          <w:szCs w:val="18"/>
        </w:rPr>
        <w:t>bid col 141-142.</w:t>
      </w:r>
    </w:p>
  </w:footnote>
  <w:footnote w:id="75">
    <w:p w14:paraId="11991086" w14:textId="28F8F2DB" w:rsidR="007E2149" w:rsidRPr="001E2538" w:rsidRDefault="007E2149"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The Women’s Freedom League was openly sceptical about the fairness of the legal system arguing that without women solicitors, </w:t>
      </w:r>
      <w:proofErr w:type="gramStart"/>
      <w:r w:rsidRPr="001E2538">
        <w:rPr>
          <w:rFonts w:asciiTheme="minorHAnsi" w:hAnsiTheme="minorHAnsi" w:cstheme="minorHAnsi"/>
          <w:sz w:val="18"/>
          <w:szCs w:val="18"/>
        </w:rPr>
        <w:t>barristers</w:t>
      </w:r>
      <w:proofErr w:type="gramEnd"/>
      <w:r w:rsidRPr="001E2538">
        <w:rPr>
          <w:rFonts w:asciiTheme="minorHAnsi" w:hAnsiTheme="minorHAnsi" w:cstheme="minorHAnsi"/>
          <w:sz w:val="18"/>
          <w:szCs w:val="18"/>
        </w:rPr>
        <w:t xml:space="preserve"> and magistrates ‘it is exceedingly difficult to have any confidence in the administration of British justice’ (</w:t>
      </w:r>
      <w:r w:rsidRPr="001E2538">
        <w:rPr>
          <w:rFonts w:asciiTheme="minorHAnsi" w:hAnsiTheme="minorHAnsi" w:cstheme="minorHAnsi"/>
          <w:i/>
          <w:iCs/>
          <w:sz w:val="18"/>
          <w:szCs w:val="18"/>
        </w:rPr>
        <w:t xml:space="preserve">The Vote </w:t>
      </w:r>
      <w:r w:rsidRPr="001E2538">
        <w:rPr>
          <w:rFonts w:asciiTheme="minorHAnsi" w:hAnsiTheme="minorHAnsi" w:cstheme="minorHAnsi"/>
          <w:sz w:val="18"/>
          <w:szCs w:val="18"/>
        </w:rPr>
        <w:t>5 September 1919). See further Anne Logan</w:t>
      </w:r>
      <w:r w:rsidR="00356F07">
        <w:rPr>
          <w:rFonts w:asciiTheme="minorHAnsi" w:hAnsiTheme="minorHAnsi" w:cstheme="minorHAnsi"/>
          <w:sz w:val="18"/>
          <w:szCs w:val="18"/>
        </w:rPr>
        <w:t>,</w:t>
      </w:r>
      <w:r w:rsidRPr="001E2538">
        <w:rPr>
          <w:rFonts w:asciiTheme="minorHAnsi" w:hAnsiTheme="minorHAnsi" w:cstheme="minorHAnsi"/>
          <w:sz w:val="18"/>
          <w:szCs w:val="18"/>
        </w:rPr>
        <w:t xml:space="preserve"> ‘In Search of Equal Citizenship: the campaign for women magistrates in England and Wales, 1910–1939’ (2007) 16(4) </w:t>
      </w:r>
      <w:r w:rsidRPr="001E2538">
        <w:rPr>
          <w:rFonts w:asciiTheme="minorHAnsi" w:hAnsiTheme="minorHAnsi" w:cstheme="minorHAnsi"/>
          <w:i/>
          <w:iCs/>
          <w:sz w:val="18"/>
          <w:szCs w:val="18"/>
        </w:rPr>
        <w:t>Women's History Review</w:t>
      </w:r>
      <w:r w:rsidRPr="001E2538">
        <w:rPr>
          <w:rFonts w:asciiTheme="minorHAnsi" w:hAnsiTheme="minorHAnsi" w:cstheme="minorHAnsi"/>
          <w:sz w:val="18"/>
          <w:szCs w:val="18"/>
        </w:rPr>
        <w:t xml:space="preserve"> 501, 505-506</w:t>
      </w:r>
      <w:r w:rsidR="00B203DA" w:rsidRPr="001E2538">
        <w:rPr>
          <w:rFonts w:asciiTheme="minorHAnsi" w:hAnsiTheme="minorHAnsi" w:cstheme="minorHAnsi"/>
          <w:sz w:val="18"/>
          <w:szCs w:val="18"/>
        </w:rPr>
        <w:t>.</w:t>
      </w:r>
    </w:p>
  </w:footnote>
  <w:footnote w:id="76">
    <w:p w14:paraId="6FF8DF00" w14:textId="28D1D394" w:rsidR="00BA09ED" w:rsidRPr="001E2538" w:rsidRDefault="00BA09E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A17E2B">
        <w:rPr>
          <w:rFonts w:asciiTheme="minorHAnsi" w:hAnsiTheme="minorHAnsi" w:cstheme="minorHAnsi"/>
          <w:sz w:val="18"/>
          <w:szCs w:val="18"/>
        </w:rPr>
        <w:t>Hansard, n 65</w:t>
      </w:r>
      <w:r w:rsidR="006F7509" w:rsidRPr="001E2538">
        <w:rPr>
          <w:rFonts w:asciiTheme="minorHAnsi" w:hAnsiTheme="minorHAnsi" w:cstheme="minorHAnsi"/>
          <w:sz w:val="18"/>
          <w:szCs w:val="18"/>
        </w:rPr>
        <w:t xml:space="preserve">, </w:t>
      </w:r>
      <w:r w:rsidRPr="001E2538">
        <w:rPr>
          <w:rFonts w:asciiTheme="minorHAnsi" w:hAnsiTheme="minorHAnsi" w:cstheme="minorHAnsi"/>
          <w:sz w:val="18"/>
          <w:szCs w:val="18"/>
        </w:rPr>
        <w:t>col 142</w:t>
      </w:r>
      <w:r w:rsidR="00A17E2B">
        <w:rPr>
          <w:rFonts w:asciiTheme="minorHAnsi" w:hAnsiTheme="minorHAnsi" w:cstheme="minorHAnsi"/>
          <w:sz w:val="18"/>
          <w:szCs w:val="18"/>
        </w:rPr>
        <w:t>.</w:t>
      </w:r>
    </w:p>
  </w:footnote>
  <w:footnote w:id="77">
    <w:p w14:paraId="0A8FBF01" w14:textId="4CD0F74E" w:rsidR="00BA09ED" w:rsidRPr="001E2538" w:rsidRDefault="00BA09E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356F07">
        <w:rPr>
          <w:rFonts w:asciiTheme="minorHAnsi" w:hAnsiTheme="minorHAnsi" w:cstheme="minorHAnsi"/>
          <w:sz w:val="18"/>
          <w:szCs w:val="18"/>
        </w:rPr>
        <w:t xml:space="preserve">Hansard, </w:t>
      </w:r>
      <w:r w:rsidR="008803BC" w:rsidRPr="001E2538">
        <w:rPr>
          <w:rFonts w:asciiTheme="minorHAnsi" w:hAnsiTheme="minorHAnsi" w:cstheme="minorHAnsi"/>
          <w:sz w:val="18"/>
          <w:szCs w:val="18"/>
        </w:rPr>
        <w:t>‘</w:t>
      </w:r>
      <w:r w:rsidRPr="001E2538">
        <w:rPr>
          <w:rFonts w:asciiTheme="minorHAnsi" w:hAnsiTheme="minorHAnsi" w:cstheme="minorHAnsi"/>
          <w:sz w:val="18"/>
          <w:szCs w:val="18"/>
        </w:rPr>
        <w:t>Industrial Courts Bill</w:t>
      </w:r>
      <w:r w:rsidR="008803BC" w:rsidRPr="001E2538">
        <w:rPr>
          <w:rFonts w:asciiTheme="minorHAnsi" w:hAnsiTheme="minorHAnsi" w:cstheme="minorHAnsi"/>
          <w:sz w:val="18"/>
          <w:szCs w:val="18"/>
        </w:rPr>
        <w:t xml:space="preserve">’ </w:t>
      </w:r>
      <w:r w:rsidRPr="001E2538">
        <w:rPr>
          <w:rFonts w:asciiTheme="minorHAnsi" w:hAnsiTheme="minorHAnsi" w:cstheme="minorHAnsi"/>
          <w:sz w:val="18"/>
          <w:szCs w:val="18"/>
        </w:rPr>
        <w:t>HC Deb, vol 121 col 668</w:t>
      </w:r>
      <w:r w:rsidR="00A17E2B">
        <w:rPr>
          <w:rFonts w:asciiTheme="minorHAnsi" w:hAnsiTheme="minorHAnsi" w:cstheme="minorHAnsi"/>
          <w:sz w:val="18"/>
          <w:szCs w:val="18"/>
        </w:rPr>
        <w:t xml:space="preserve"> (</w:t>
      </w:r>
      <w:r w:rsidR="00A17E2B" w:rsidRPr="001E2538">
        <w:rPr>
          <w:rFonts w:asciiTheme="minorHAnsi" w:hAnsiTheme="minorHAnsi" w:cstheme="minorHAnsi"/>
          <w:sz w:val="18"/>
          <w:szCs w:val="18"/>
        </w:rPr>
        <w:t>17 November 1919</w:t>
      </w:r>
      <w:r w:rsidR="00A17E2B">
        <w:rPr>
          <w:rFonts w:asciiTheme="minorHAnsi" w:hAnsiTheme="minorHAnsi" w:cstheme="minorHAnsi"/>
          <w:sz w:val="18"/>
          <w:szCs w:val="18"/>
        </w:rPr>
        <w:t>)</w:t>
      </w:r>
      <w:r w:rsidRPr="001E2538">
        <w:rPr>
          <w:rFonts w:asciiTheme="minorHAnsi" w:hAnsiTheme="minorHAnsi" w:cstheme="minorHAnsi"/>
          <w:sz w:val="18"/>
          <w:szCs w:val="18"/>
        </w:rPr>
        <w:t>.</w:t>
      </w:r>
    </w:p>
  </w:footnote>
  <w:footnote w:id="78">
    <w:p w14:paraId="0DE6F2CB" w14:textId="522C559A" w:rsidR="007E2149" w:rsidRPr="001E2538" w:rsidRDefault="007E2149"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A17E2B">
        <w:rPr>
          <w:rFonts w:asciiTheme="minorHAnsi" w:hAnsiTheme="minorHAnsi" w:cstheme="minorHAnsi"/>
          <w:sz w:val="18"/>
          <w:szCs w:val="18"/>
        </w:rPr>
        <w:t>Hansard, n 65</w:t>
      </w:r>
      <w:r w:rsidR="00A17E2B" w:rsidRPr="001E2538">
        <w:rPr>
          <w:rFonts w:asciiTheme="minorHAnsi" w:hAnsiTheme="minorHAnsi" w:cstheme="minorHAnsi"/>
          <w:sz w:val="18"/>
          <w:szCs w:val="18"/>
        </w:rPr>
        <w:t>,</w:t>
      </w:r>
      <w:r w:rsidRPr="001E2538">
        <w:rPr>
          <w:rFonts w:asciiTheme="minorHAnsi" w:hAnsiTheme="minorHAnsi" w:cstheme="minorHAnsi"/>
          <w:sz w:val="18"/>
          <w:szCs w:val="18"/>
        </w:rPr>
        <w:t xml:space="preserve"> col </w:t>
      </w:r>
      <w:r w:rsidR="00B203DA" w:rsidRPr="001E2538">
        <w:rPr>
          <w:rFonts w:asciiTheme="minorHAnsi" w:hAnsiTheme="minorHAnsi" w:cstheme="minorHAnsi"/>
          <w:sz w:val="18"/>
          <w:szCs w:val="18"/>
        </w:rPr>
        <w:t>139-</w:t>
      </w:r>
      <w:r w:rsidRPr="001E2538">
        <w:rPr>
          <w:rFonts w:asciiTheme="minorHAnsi" w:hAnsiTheme="minorHAnsi" w:cstheme="minorHAnsi"/>
          <w:sz w:val="18"/>
          <w:szCs w:val="18"/>
        </w:rPr>
        <w:t>141.</w:t>
      </w:r>
    </w:p>
  </w:footnote>
  <w:footnote w:id="79">
    <w:p w14:paraId="2DA1C673" w14:textId="05CA7817" w:rsidR="007E2149" w:rsidRPr="001E2538" w:rsidRDefault="007E2149"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C42470" w:rsidRPr="001E2538">
        <w:rPr>
          <w:rFonts w:asciiTheme="minorHAnsi" w:hAnsiTheme="minorHAnsi" w:cstheme="minorHAnsi"/>
          <w:sz w:val="18"/>
          <w:szCs w:val="18"/>
        </w:rPr>
        <w:t>i</w:t>
      </w:r>
      <w:r w:rsidRPr="001E2538">
        <w:rPr>
          <w:rFonts w:asciiTheme="minorHAnsi" w:hAnsiTheme="minorHAnsi" w:cstheme="minorHAnsi"/>
          <w:sz w:val="18"/>
          <w:szCs w:val="18"/>
        </w:rPr>
        <w:t>bid col 138-139.</w:t>
      </w:r>
    </w:p>
  </w:footnote>
  <w:footnote w:id="80">
    <w:p w14:paraId="4CB089D2" w14:textId="0178EB6D" w:rsidR="007E2149" w:rsidRPr="001E2538" w:rsidRDefault="007E2149"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8803BC" w:rsidRPr="001E2538">
        <w:rPr>
          <w:rFonts w:asciiTheme="minorHAnsi" w:hAnsiTheme="minorHAnsi" w:cstheme="minorHAnsi"/>
          <w:sz w:val="18"/>
          <w:szCs w:val="18"/>
        </w:rPr>
        <w:t>Anon</w:t>
      </w:r>
      <w:r w:rsidR="004F7A5E" w:rsidRPr="001E2538">
        <w:rPr>
          <w:rFonts w:asciiTheme="minorHAnsi" w:hAnsiTheme="minorHAnsi" w:cstheme="minorHAnsi"/>
          <w:sz w:val="18"/>
          <w:szCs w:val="18"/>
        </w:rPr>
        <w:t>,</w:t>
      </w:r>
      <w:r w:rsidR="008803BC" w:rsidRPr="001E2538">
        <w:rPr>
          <w:rFonts w:asciiTheme="minorHAnsi" w:hAnsiTheme="minorHAnsi" w:cstheme="minorHAnsi"/>
          <w:sz w:val="18"/>
          <w:szCs w:val="18"/>
        </w:rPr>
        <w:t xml:space="preserve"> ‘</w:t>
      </w:r>
      <w:r w:rsidRPr="001E2538">
        <w:rPr>
          <w:rFonts w:asciiTheme="minorHAnsi" w:hAnsiTheme="minorHAnsi" w:cstheme="minorHAnsi"/>
          <w:sz w:val="18"/>
          <w:szCs w:val="18"/>
        </w:rPr>
        <w:t>The Industrial Court: A Concession to Women</w:t>
      </w:r>
      <w:r w:rsidR="008803BC"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The Manchester Guardian</w:t>
      </w:r>
      <w:r w:rsidRPr="001E2538">
        <w:rPr>
          <w:rFonts w:asciiTheme="minorHAnsi" w:hAnsiTheme="minorHAnsi" w:cstheme="minorHAnsi"/>
          <w:sz w:val="18"/>
          <w:szCs w:val="18"/>
        </w:rPr>
        <w:t xml:space="preserve"> 13 November 1919</w:t>
      </w:r>
      <w:r w:rsidR="006F7509" w:rsidRPr="001E2538">
        <w:rPr>
          <w:rFonts w:asciiTheme="minorHAnsi" w:hAnsiTheme="minorHAnsi" w:cstheme="minorHAnsi"/>
          <w:sz w:val="18"/>
          <w:szCs w:val="18"/>
        </w:rPr>
        <w:t>.</w:t>
      </w:r>
    </w:p>
  </w:footnote>
  <w:footnote w:id="81">
    <w:p w14:paraId="51AE1FA7" w14:textId="1E0CF567" w:rsidR="007E2149" w:rsidRPr="001E2538" w:rsidRDefault="007E2149"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8803BC" w:rsidRPr="001E2538">
        <w:rPr>
          <w:rFonts w:asciiTheme="minorHAnsi" w:hAnsiTheme="minorHAnsi" w:cstheme="minorHAnsi"/>
          <w:sz w:val="18"/>
          <w:szCs w:val="18"/>
        </w:rPr>
        <w:t>‘</w:t>
      </w:r>
      <w:r w:rsidRPr="001E2538">
        <w:rPr>
          <w:rFonts w:asciiTheme="minorHAnsi" w:hAnsiTheme="minorHAnsi" w:cstheme="minorHAnsi"/>
          <w:sz w:val="18"/>
          <w:szCs w:val="18"/>
        </w:rPr>
        <w:t>Industrial Courts Bill</w:t>
      </w:r>
      <w:r w:rsidR="008803BC" w:rsidRPr="001E2538">
        <w:rPr>
          <w:rFonts w:asciiTheme="minorHAnsi" w:hAnsiTheme="minorHAnsi" w:cstheme="minorHAnsi"/>
          <w:sz w:val="18"/>
          <w:szCs w:val="18"/>
        </w:rPr>
        <w:t>’</w:t>
      </w:r>
      <w:r w:rsidRPr="001E2538">
        <w:rPr>
          <w:rFonts w:asciiTheme="minorHAnsi" w:hAnsiTheme="minorHAnsi" w:cstheme="minorHAnsi"/>
          <w:sz w:val="18"/>
          <w:szCs w:val="18"/>
        </w:rPr>
        <w:t xml:space="preserve"> HC Deb</w:t>
      </w:r>
      <w:r w:rsidR="006F7509" w:rsidRPr="001E2538">
        <w:rPr>
          <w:rFonts w:asciiTheme="minorHAnsi" w:hAnsiTheme="minorHAnsi" w:cstheme="minorHAnsi"/>
          <w:sz w:val="18"/>
          <w:szCs w:val="18"/>
        </w:rPr>
        <w:t>,</w:t>
      </w:r>
      <w:r w:rsidRPr="001E2538">
        <w:rPr>
          <w:rFonts w:asciiTheme="minorHAnsi" w:hAnsiTheme="minorHAnsi" w:cstheme="minorHAnsi"/>
          <w:sz w:val="18"/>
          <w:szCs w:val="18"/>
        </w:rPr>
        <w:t xml:space="preserve"> vol 121 col 460</w:t>
      </w:r>
      <w:r w:rsidR="00A17E2B">
        <w:rPr>
          <w:rFonts w:asciiTheme="minorHAnsi" w:hAnsiTheme="minorHAnsi" w:cstheme="minorHAnsi"/>
          <w:sz w:val="18"/>
          <w:szCs w:val="18"/>
        </w:rPr>
        <w:t xml:space="preserve"> (</w:t>
      </w:r>
      <w:r w:rsidR="00A17E2B" w:rsidRPr="001E2538">
        <w:rPr>
          <w:rFonts w:asciiTheme="minorHAnsi" w:hAnsiTheme="minorHAnsi" w:cstheme="minorHAnsi"/>
          <w:sz w:val="18"/>
          <w:szCs w:val="18"/>
        </w:rPr>
        <w:t>18 November 1919</w:t>
      </w:r>
      <w:r w:rsidR="00A17E2B">
        <w:rPr>
          <w:rFonts w:asciiTheme="minorHAnsi" w:hAnsiTheme="minorHAnsi" w:cstheme="minorHAnsi"/>
          <w:sz w:val="18"/>
          <w:szCs w:val="18"/>
        </w:rPr>
        <w:t>)</w:t>
      </w:r>
      <w:r w:rsidRPr="001E2538">
        <w:rPr>
          <w:rFonts w:asciiTheme="minorHAnsi" w:hAnsiTheme="minorHAnsi" w:cstheme="minorHAnsi"/>
          <w:sz w:val="18"/>
          <w:szCs w:val="18"/>
        </w:rPr>
        <w:t>.</w:t>
      </w:r>
    </w:p>
  </w:footnote>
  <w:footnote w:id="82">
    <w:p w14:paraId="70874AC1" w14:textId="3B98742F" w:rsidR="00B203DA" w:rsidRPr="001E2538" w:rsidRDefault="00B203DA"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C42470" w:rsidRPr="001E2538">
        <w:rPr>
          <w:rFonts w:asciiTheme="minorHAnsi" w:hAnsiTheme="minorHAnsi" w:cstheme="minorHAnsi"/>
          <w:sz w:val="18"/>
          <w:szCs w:val="18"/>
        </w:rPr>
        <w:t>i</w:t>
      </w:r>
      <w:r w:rsidRPr="001E2538">
        <w:rPr>
          <w:rFonts w:asciiTheme="minorHAnsi" w:hAnsiTheme="minorHAnsi" w:cstheme="minorHAnsi"/>
          <w:sz w:val="18"/>
          <w:szCs w:val="18"/>
        </w:rPr>
        <w:t>bid.</w:t>
      </w:r>
    </w:p>
  </w:footnote>
  <w:footnote w:id="83">
    <w:p w14:paraId="5E92D61F" w14:textId="16EC551F" w:rsidR="003D11F2" w:rsidRPr="001E2538" w:rsidRDefault="003D11F2"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8803BC" w:rsidRPr="001E2538">
        <w:rPr>
          <w:rFonts w:asciiTheme="minorHAnsi" w:hAnsiTheme="minorHAnsi" w:cstheme="minorHAnsi"/>
          <w:sz w:val="18"/>
          <w:szCs w:val="18"/>
        </w:rPr>
        <w:t>Th</w:t>
      </w:r>
      <w:r w:rsidR="008D1B87" w:rsidRPr="001E2538">
        <w:rPr>
          <w:rFonts w:asciiTheme="minorHAnsi" w:hAnsiTheme="minorHAnsi" w:cstheme="minorHAnsi"/>
          <w:sz w:val="18"/>
          <w:szCs w:val="18"/>
        </w:rPr>
        <w:t>e</w:t>
      </w:r>
      <w:r w:rsidRPr="001E2538">
        <w:rPr>
          <w:rFonts w:asciiTheme="minorHAnsi" w:hAnsiTheme="minorHAnsi" w:cstheme="minorHAnsi"/>
          <w:sz w:val="18"/>
          <w:szCs w:val="18"/>
        </w:rPr>
        <w:t xml:space="preserve"> Act also ensured that women be included as panel members on a Board of Arbitration (s2(2)) and as ad hoc ‘assessors’ (s3(1))</w:t>
      </w:r>
      <w:r w:rsidR="00241A78" w:rsidRPr="001E2538">
        <w:rPr>
          <w:rFonts w:asciiTheme="minorHAnsi" w:hAnsiTheme="minorHAnsi" w:cstheme="minorHAnsi"/>
          <w:sz w:val="18"/>
          <w:szCs w:val="18"/>
        </w:rPr>
        <w:t>. On the early operation of the court see generally William Mackenzie</w:t>
      </w:r>
      <w:r w:rsidR="004F7A5E" w:rsidRPr="001E2538">
        <w:rPr>
          <w:rFonts w:asciiTheme="minorHAnsi" w:hAnsiTheme="minorHAnsi" w:cstheme="minorHAnsi"/>
          <w:sz w:val="18"/>
          <w:szCs w:val="18"/>
        </w:rPr>
        <w:t>,</w:t>
      </w:r>
      <w:r w:rsidR="00241A78" w:rsidRPr="001E2538">
        <w:rPr>
          <w:rFonts w:asciiTheme="minorHAnsi" w:hAnsiTheme="minorHAnsi" w:cstheme="minorHAnsi"/>
          <w:sz w:val="18"/>
          <w:szCs w:val="18"/>
        </w:rPr>
        <w:t xml:space="preserve"> </w:t>
      </w:r>
      <w:r w:rsidR="00241A78" w:rsidRPr="001E2538">
        <w:rPr>
          <w:rFonts w:asciiTheme="minorHAnsi" w:hAnsiTheme="minorHAnsi" w:cstheme="minorHAnsi"/>
          <w:i/>
          <w:iCs/>
          <w:sz w:val="18"/>
          <w:szCs w:val="18"/>
        </w:rPr>
        <w:t>The Industrial Court: Practice and Procedure</w:t>
      </w:r>
      <w:r w:rsidR="00241A78" w:rsidRPr="001E2538">
        <w:rPr>
          <w:rFonts w:asciiTheme="minorHAnsi" w:hAnsiTheme="minorHAnsi" w:cstheme="minorHAnsi"/>
          <w:sz w:val="18"/>
          <w:szCs w:val="18"/>
        </w:rPr>
        <w:t xml:space="preserve"> (Butterworth &amp; Co 1923). </w:t>
      </w:r>
    </w:p>
  </w:footnote>
  <w:footnote w:id="84">
    <w:p w14:paraId="524D71B6" w14:textId="038A334C" w:rsidR="00B203DA" w:rsidRPr="001E2538" w:rsidRDefault="00B203DA"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6F7509" w:rsidRPr="001E2538">
        <w:rPr>
          <w:rFonts w:asciiTheme="minorHAnsi" w:hAnsiTheme="minorHAnsi" w:cstheme="minorHAnsi"/>
          <w:sz w:val="18"/>
          <w:szCs w:val="18"/>
        </w:rPr>
        <w:t>Anon</w:t>
      </w:r>
      <w:r w:rsidR="004F7A5E" w:rsidRPr="001E2538">
        <w:rPr>
          <w:rFonts w:asciiTheme="minorHAnsi" w:hAnsiTheme="minorHAnsi" w:cstheme="minorHAnsi"/>
          <w:sz w:val="18"/>
          <w:szCs w:val="18"/>
        </w:rPr>
        <w:t>,</w:t>
      </w:r>
      <w:r w:rsidR="006F7509" w:rsidRPr="001E2538">
        <w:rPr>
          <w:rFonts w:asciiTheme="minorHAnsi" w:hAnsiTheme="minorHAnsi" w:cstheme="minorHAnsi"/>
          <w:sz w:val="18"/>
          <w:szCs w:val="18"/>
        </w:rPr>
        <w:t xml:space="preserve"> ‘</w:t>
      </w:r>
      <w:r w:rsidRPr="001E2538">
        <w:rPr>
          <w:rFonts w:asciiTheme="minorHAnsi" w:hAnsiTheme="minorHAnsi" w:cstheme="minorHAnsi"/>
          <w:sz w:val="18"/>
          <w:szCs w:val="18"/>
        </w:rPr>
        <w:t>Industrial Court constituted: Two women members</w:t>
      </w:r>
      <w:r w:rsidR="006F7509"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 xml:space="preserve">The Times </w:t>
      </w:r>
      <w:r w:rsidRPr="001E2538">
        <w:rPr>
          <w:rFonts w:asciiTheme="minorHAnsi" w:hAnsiTheme="minorHAnsi" w:cstheme="minorHAnsi"/>
          <w:sz w:val="18"/>
          <w:szCs w:val="18"/>
        </w:rPr>
        <w:t>6 December 1919.</w:t>
      </w:r>
    </w:p>
  </w:footnote>
  <w:footnote w:id="85">
    <w:p w14:paraId="38CF8AA5" w14:textId="67DEAFF4" w:rsidR="00C42470" w:rsidRPr="001E2538" w:rsidRDefault="00C42470"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Georgina Brewis</w:t>
      </w:r>
      <w:r w:rsidR="004F7A5E" w:rsidRPr="001E2538">
        <w:rPr>
          <w:rFonts w:asciiTheme="minorHAnsi" w:hAnsiTheme="minorHAnsi" w:cstheme="minorHAnsi"/>
          <w:sz w:val="18"/>
          <w:szCs w:val="18"/>
        </w:rPr>
        <w:t>,</w:t>
      </w:r>
      <w:r w:rsidR="006F7509" w:rsidRPr="001E2538">
        <w:rPr>
          <w:rFonts w:asciiTheme="minorHAnsi" w:hAnsiTheme="minorHAnsi" w:cstheme="minorHAnsi"/>
          <w:sz w:val="18"/>
          <w:szCs w:val="18"/>
        </w:rPr>
        <w:t xml:space="preserve"> ‘</w:t>
      </w:r>
      <w:r w:rsidRPr="001E2538">
        <w:rPr>
          <w:rFonts w:asciiTheme="minorHAnsi" w:hAnsiTheme="minorHAnsi" w:cstheme="minorHAnsi"/>
          <w:sz w:val="18"/>
          <w:szCs w:val="18"/>
        </w:rPr>
        <w:t>Matheson, (Marie) Cécile</w:t>
      </w:r>
      <w:r w:rsidR="006F7509"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Oxford Dictionary of National Biography</w:t>
      </w:r>
      <w:r w:rsidR="004A30CB" w:rsidRPr="001E2538">
        <w:rPr>
          <w:rFonts w:asciiTheme="minorHAnsi" w:hAnsiTheme="minorHAnsi" w:cstheme="minorHAnsi"/>
          <w:sz w:val="18"/>
          <w:szCs w:val="18"/>
        </w:rPr>
        <w:t xml:space="preserve"> </w:t>
      </w:r>
      <w:r w:rsidRPr="001E2538">
        <w:rPr>
          <w:rFonts w:asciiTheme="minorHAnsi" w:hAnsiTheme="minorHAnsi" w:cstheme="minorHAnsi"/>
          <w:sz w:val="18"/>
          <w:szCs w:val="18"/>
        </w:rPr>
        <w:t>9 August 2018</w:t>
      </w:r>
      <w:r w:rsidR="008D1B87" w:rsidRPr="001E2538">
        <w:rPr>
          <w:rFonts w:asciiTheme="minorHAnsi" w:hAnsiTheme="minorHAnsi" w:cstheme="minorHAnsi"/>
          <w:sz w:val="18"/>
          <w:szCs w:val="18"/>
        </w:rPr>
        <w:t>.</w:t>
      </w:r>
    </w:p>
  </w:footnote>
  <w:footnote w:id="86">
    <w:p w14:paraId="17FB6ABD" w14:textId="651114D1" w:rsidR="00C42470" w:rsidRPr="001E2538" w:rsidRDefault="00C42470"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Edward Cadbury, M Cecile Matheson and George Shann</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 xml:space="preserve">Women’s </w:t>
      </w:r>
      <w:proofErr w:type="gramStart"/>
      <w:r w:rsidRPr="001E2538">
        <w:rPr>
          <w:rFonts w:asciiTheme="minorHAnsi" w:hAnsiTheme="minorHAnsi" w:cstheme="minorHAnsi"/>
          <w:i/>
          <w:iCs/>
          <w:sz w:val="18"/>
          <w:szCs w:val="18"/>
        </w:rPr>
        <w:t>Works</w:t>
      </w:r>
      <w:proofErr w:type="gramEnd"/>
      <w:r w:rsidRPr="001E2538">
        <w:rPr>
          <w:rFonts w:asciiTheme="minorHAnsi" w:hAnsiTheme="minorHAnsi" w:cstheme="minorHAnsi"/>
          <w:i/>
          <w:iCs/>
          <w:sz w:val="18"/>
          <w:szCs w:val="18"/>
        </w:rPr>
        <w:t xml:space="preserve"> and Wages: A Phase of Life in an Industrial City</w:t>
      </w:r>
      <w:r w:rsidRPr="001E2538">
        <w:rPr>
          <w:rFonts w:asciiTheme="minorHAnsi" w:hAnsiTheme="minorHAnsi" w:cstheme="minorHAnsi"/>
          <w:sz w:val="18"/>
          <w:szCs w:val="18"/>
        </w:rPr>
        <w:t xml:space="preserve"> (University of Chicago Press 1907). </w:t>
      </w:r>
    </w:p>
  </w:footnote>
  <w:footnote w:id="87">
    <w:p w14:paraId="06FEE565" w14:textId="1B412B39" w:rsidR="007441C7" w:rsidRPr="001E2538" w:rsidRDefault="007441C7" w:rsidP="00E723E9">
      <w:pPr>
        <w:pStyle w:val="FootnoteText"/>
        <w:adjustRightInd w:val="0"/>
        <w:snapToGrid w:val="0"/>
        <w:rPr>
          <w:rFonts w:asciiTheme="minorHAnsi" w:hAnsiTheme="minorHAnsi" w:cstheme="minorHAnsi"/>
          <w:i/>
          <w:iCs/>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Miss Violet Markham (obituary) </w:t>
      </w:r>
      <w:r w:rsidRPr="001E2538">
        <w:rPr>
          <w:rFonts w:asciiTheme="minorHAnsi" w:hAnsiTheme="minorHAnsi" w:cstheme="minorHAnsi"/>
          <w:i/>
          <w:iCs/>
          <w:sz w:val="18"/>
          <w:szCs w:val="18"/>
        </w:rPr>
        <w:t xml:space="preserve">The Times </w:t>
      </w:r>
      <w:r w:rsidRPr="001E2538">
        <w:rPr>
          <w:rFonts w:asciiTheme="minorHAnsi" w:hAnsiTheme="minorHAnsi" w:cstheme="minorHAnsi"/>
          <w:sz w:val="18"/>
          <w:szCs w:val="18"/>
        </w:rPr>
        <w:t>3 February 1959</w:t>
      </w:r>
      <w:r w:rsidR="00966994" w:rsidRPr="001E2538">
        <w:rPr>
          <w:rFonts w:asciiTheme="minorHAnsi" w:hAnsiTheme="minorHAnsi" w:cstheme="minorHAnsi"/>
          <w:sz w:val="18"/>
          <w:szCs w:val="18"/>
        </w:rPr>
        <w:t>.</w:t>
      </w:r>
    </w:p>
  </w:footnote>
  <w:footnote w:id="88">
    <w:p w14:paraId="4023B443" w14:textId="5B58911B" w:rsidR="00F5577C" w:rsidRPr="001E2538" w:rsidRDefault="00F5577C"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Though she later switched sides</w:t>
      </w:r>
      <w:r w:rsidR="00966994" w:rsidRPr="001E2538">
        <w:rPr>
          <w:rFonts w:asciiTheme="minorHAnsi" w:hAnsiTheme="minorHAnsi" w:cstheme="minorHAnsi"/>
          <w:sz w:val="18"/>
          <w:szCs w:val="18"/>
        </w:rPr>
        <w:t>, ‘</w:t>
      </w:r>
      <w:r w:rsidR="007441C7" w:rsidRPr="001E2538">
        <w:rPr>
          <w:rFonts w:asciiTheme="minorHAnsi" w:hAnsiTheme="minorHAnsi" w:cstheme="minorHAnsi"/>
          <w:sz w:val="18"/>
          <w:szCs w:val="18"/>
        </w:rPr>
        <w:t>unsuccessfully</w:t>
      </w:r>
      <w:r w:rsidR="00966994" w:rsidRPr="001E2538">
        <w:rPr>
          <w:rFonts w:asciiTheme="minorHAnsi" w:hAnsiTheme="minorHAnsi" w:cstheme="minorHAnsi"/>
          <w:sz w:val="18"/>
          <w:szCs w:val="18"/>
        </w:rPr>
        <w:t>, and unenthusiastically’</w:t>
      </w:r>
      <w:r w:rsidR="007441C7" w:rsidRPr="001E2538">
        <w:rPr>
          <w:rFonts w:asciiTheme="minorHAnsi" w:hAnsiTheme="minorHAnsi" w:cstheme="minorHAnsi"/>
          <w:sz w:val="18"/>
          <w:szCs w:val="18"/>
        </w:rPr>
        <w:t xml:space="preserve"> st</w:t>
      </w:r>
      <w:r w:rsidR="00966994" w:rsidRPr="001E2538">
        <w:rPr>
          <w:rFonts w:asciiTheme="minorHAnsi" w:hAnsiTheme="minorHAnsi" w:cstheme="minorHAnsi"/>
          <w:sz w:val="18"/>
          <w:szCs w:val="18"/>
        </w:rPr>
        <w:t xml:space="preserve">anding </w:t>
      </w:r>
      <w:r w:rsidR="007441C7" w:rsidRPr="001E2538">
        <w:rPr>
          <w:rFonts w:asciiTheme="minorHAnsi" w:hAnsiTheme="minorHAnsi" w:cstheme="minorHAnsi"/>
          <w:sz w:val="18"/>
          <w:szCs w:val="18"/>
        </w:rPr>
        <w:t xml:space="preserve">as an independent liberal in the 1918 general </w:t>
      </w:r>
      <w:r w:rsidR="00966994" w:rsidRPr="001E2538">
        <w:rPr>
          <w:rFonts w:asciiTheme="minorHAnsi" w:hAnsiTheme="minorHAnsi" w:cstheme="minorHAnsi"/>
          <w:sz w:val="18"/>
          <w:szCs w:val="18"/>
        </w:rPr>
        <w:t>election (Helen Jones</w:t>
      </w:r>
      <w:r w:rsidR="004F7A5E" w:rsidRPr="001E2538">
        <w:rPr>
          <w:rFonts w:asciiTheme="minorHAnsi" w:hAnsiTheme="minorHAnsi" w:cstheme="minorHAnsi"/>
          <w:sz w:val="18"/>
          <w:szCs w:val="18"/>
        </w:rPr>
        <w:t>,</w:t>
      </w:r>
      <w:r w:rsidR="00966994" w:rsidRPr="001E2538">
        <w:rPr>
          <w:rFonts w:asciiTheme="minorHAnsi" w:hAnsiTheme="minorHAnsi" w:cstheme="minorHAnsi"/>
          <w:sz w:val="18"/>
          <w:szCs w:val="18"/>
        </w:rPr>
        <w:t xml:space="preserve"> ‘Markham, Violet Rosa’ </w:t>
      </w:r>
      <w:r w:rsidR="008D1B87" w:rsidRPr="001E2538">
        <w:rPr>
          <w:rFonts w:asciiTheme="minorHAnsi" w:hAnsiTheme="minorHAnsi" w:cstheme="minorHAnsi"/>
          <w:i/>
          <w:iCs/>
          <w:sz w:val="18"/>
          <w:szCs w:val="18"/>
        </w:rPr>
        <w:t>Oxford Dictionary of National Biography</w:t>
      </w:r>
      <w:r w:rsidR="008D1B87" w:rsidRPr="001E2538">
        <w:rPr>
          <w:rFonts w:asciiTheme="minorHAnsi" w:hAnsiTheme="minorHAnsi" w:cstheme="minorHAnsi"/>
          <w:sz w:val="18"/>
          <w:szCs w:val="18"/>
        </w:rPr>
        <w:t xml:space="preserve"> </w:t>
      </w:r>
      <w:r w:rsidR="00966994" w:rsidRPr="001E2538">
        <w:rPr>
          <w:rFonts w:asciiTheme="minorHAnsi" w:hAnsiTheme="minorHAnsi" w:cstheme="minorHAnsi"/>
          <w:sz w:val="18"/>
          <w:szCs w:val="18"/>
        </w:rPr>
        <w:t>24 September 2004).</w:t>
      </w:r>
    </w:p>
  </w:footnote>
  <w:footnote w:id="89">
    <w:p w14:paraId="1F26747E" w14:textId="4412EA1C" w:rsidR="00631F39" w:rsidRPr="001E2538" w:rsidRDefault="00631F39">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Gertrude Tuckwell was a member of the Women’s Trade Union League, becoming President in 1905. She later became president of the National Federation of Women Workers (NFWW) </w:t>
      </w:r>
      <w:r w:rsidR="003971D7" w:rsidRPr="001E2538">
        <w:rPr>
          <w:rFonts w:asciiTheme="minorHAnsi" w:hAnsiTheme="minorHAnsi" w:cstheme="minorHAnsi"/>
          <w:sz w:val="18"/>
          <w:szCs w:val="18"/>
        </w:rPr>
        <w:t xml:space="preserve">where she played a key role in </w:t>
      </w:r>
      <w:r w:rsidRPr="001E2538">
        <w:rPr>
          <w:rFonts w:asciiTheme="minorHAnsi" w:hAnsiTheme="minorHAnsi" w:cstheme="minorHAnsi"/>
          <w:sz w:val="18"/>
          <w:szCs w:val="18"/>
        </w:rPr>
        <w:t>campaign</w:t>
      </w:r>
      <w:r w:rsidR="003971D7" w:rsidRPr="001E2538">
        <w:rPr>
          <w:rFonts w:asciiTheme="minorHAnsi" w:hAnsiTheme="minorHAnsi" w:cstheme="minorHAnsi"/>
          <w:sz w:val="18"/>
          <w:szCs w:val="18"/>
        </w:rPr>
        <w:t>s</w:t>
      </w:r>
      <w:r w:rsidRPr="001E2538">
        <w:rPr>
          <w:rFonts w:asciiTheme="minorHAnsi" w:hAnsiTheme="minorHAnsi" w:cstheme="minorHAnsi"/>
          <w:sz w:val="18"/>
          <w:szCs w:val="18"/>
        </w:rPr>
        <w:t xml:space="preserve"> to protect women workers from industrial injuries, </w:t>
      </w:r>
      <w:r w:rsidR="003971D7" w:rsidRPr="001E2538">
        <w:rPr>
          <w:rFonts w:asciiTheme="minorHAnsi" w:hAnsiTheme="minorHAnsi" w:cstheme="minorHAnsi"/>
          <w:sz w:val="18"/>
          <w:szCs w:val="18"/>
        </w:rPr>
        <w:t>particularly</w:t>
      </w:r>
      <w:r w:rsidRPr="001E2538">
        <w:rPr>
          <w:rFonts w:asciiTheme="minorHAnsi" w:hAnsiTheme="minorHAnsi" w:cstheme="minorHAnsi"/>
          <w:sz w:val="18"/>
          <w:szCs w:val="18"/>
        </w:rPr>
        <w:t xml:space="preserve"> lead poisoning and ‘phossy jaw’. </w:t>
      </w:r>
      <w:r w:rsidR="003971D7" w:rsidRPr="001E2538">
        <w:rPr>
          <w:rFonts w:asciiTheme="minorHAnsi" w:hAnsiTheme="minorHAnsi" w:cstheme="minorHAnsi"/>
          <w:sz w:val="18"/>
          <w:szCs w:val="18"/>
        </w:rPr>
        <w:t>She was one of the first women magistrates and founders of the Magistrates’ Association (Angela V John ‘Tuckwell, Gertrude May’</w:t>
      </w:r>
      <w:r w:rsidR="003971D7" w:rsidRPr="001E2538">
        <w:rPr>
          <w:rFonts w:asciiTheme="minorHAnsi" w:hAnsiTheme="minorHAnsi" w:cstheme="minorHAnsi"/>
          <w:i/>
          <w:iCs/>
          <w:sz w:val="18"/>
          <w:szCs w:val="18"/>
        </w:rPr>
        <w:t xml:space="preserve"> Oxford Dictionary of National Biography</w:t>
      </w:r>
      <w:r w:rsidR="003971D7" w:rsidRPr="001E2538">
        <w:rPr>
          <w:rFonts w:asciiTheme="minorHAnsi" w:hAnsiTheme="minorHAnsi" w:cstheme="minorHAnsi"/>
          <w:sz w:val="18"/>
          <w:szCs w:val="18"/>
        </w:rPr>
        <w:t xml:space="preserve"> 23 September 2004).</w:t>
      </w:r>
    </w:p>
  </w:footnote>
  <w:footnote w:id="90">
    <w:p w14:paraId="31A8B4A7" w14:textId="07AC5A89" w:rsidR="00631F39" w:rsidRPr="001E2538" w:rsidRDefault="00631F39">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3971D7" w:rsidRPr="001E2538">
        <w:rPr>
          <w:rFonts w:asciiTheme="minorHAnsi" w:hAnsiTheme="minorHAnsi" w:cstheme="minorHAnsi"/>
          <w:sz w:val="18"/>
          <w:szCs w:val="18"/>
        </w:rPr>
        <w:tab/>
        <w:t xml:space="preserve"> Mary MacArthur founded the National Federation of Women Workers (NFWW) in 1906 working closely with Gertrude Tuckwell</w:t>
      </w:r>
      <w:r w:rsidR="00356F07">
        <w:rPr>
          <w:rFonts w:asciiTheme="minorHAnsi" w:hAnsiTheme="minorHAnsi" w:cstheme="minorHAnsi"/>
          <w:sz w:val="18"/>
          <w:szCs w:val="18"/>
        </w:rPr>
        <w:t>,</w:t>
      </w:r>
      <w:r w:rsidR="003971D7" w:rsidRPr="001E2538">
        <w:rPr>
          <w:rFonts w:asciiTheme="minorHAnsi" w:hAnsiTheme="minorHAnsi" w:cstheme="minorHAnsi"/>
          <w:sz w:val="18"/>
          <w:szCs w:val="18"/>
        </w:rPr>
        <w:t xml:space="preserve"> particularly on campaigns on behalf of sweated workers and for a legal minimum wage. </w:t>
      </w:r>
      <w:r w:rsidR="00866C09" w:rsidRPr="001E2538">
        <w:rPr>
          <w:rFonts w:asciiTheme="minorHAnsi" w:hAnsiTheme="minorHAnsi" w:cstheme="minorHAnsi"/>
          <w:sz w:val="18"/>
          <w:szCs w:val="18"/>
        </w:rPr>
        <w:t>A member of the Independent Labour Party, and then the Labour Party, i</w:t>
      </w:r>
      <w:r w:rsidR="003971D7" w:rsidRPr="001E2538">
        <w:rPr>
          <w:rFonts w:asciiTheme="minorHAnsi" w:hAnsiTheme="minorHAnsi" w:cstheme="minorHAnsi"/>
          <w:sz w:val="18"/>
          <w:szCs w:val="18"/>
        </w:rPr>
        <w:t>n 1920, she became one of the first women magistrates. (Angela V John, ‘Macarthur [</w:t>
      </w:r>
      <w:r w:rsidR="003971D7" w:rsidRPr="001E2538">
        <w:rPr>
          <w:rFonts w:asciiTheme="minorHAnsi" w:hAnsiTheme="minorHAnsi" w:cstheme="minorHAnsi"/>
          <w:i/>
          <w:iCs/>
          <w:sz w:val="18"/>
          <w:szCs w:val="18"/>
        </w:rPr>
        <w:t>married name</w:t>
      </w:r>
      <w:r w:rsidR="003971D7" w:rsidRPr="001E2538">
        <w:rPr>
          <w:rFonts w:asciiTheme="minorHAnsi" w:hAnsiTheme="minorHAnsi" w:cstheme="minorHAnsi"/>
          <w:sz w:val="18"/>
          <w:szCs w:val="18"/>
        </w:rPr>
        <w:t xml:space="preserve"> Anderson] Mary Reid’ </w:t>
      </w:r>
      <w:r w:rsidR="003971D7" w:rsidRPr="001E2538">
        <w:rPr>
          <w:rFonts w:asciiTheme="minorHAnsi" w:hAnsiTheme="minorHAnsi" w:cstheme="minorHAnsi"/>
          <w:i/>
          <w:iCs/>
          <w:sz w:val="18"/>
          <w:szCs w:val="18"/>
        </w:rPr>
        <w:t>Oxford Dictionary of National Biography</w:t>
      </w:r>
      <w:r w:rsidR="003971D7" w:rsidRPr="001E2538">
        <w:rPr>
          <w:rFonts w:asciiTheme="minorHAnsi" w:hAnsiTheme="minorHAnsi" w:cstheme="minorHAnsi"/>
          <w:sz w:val="18"/>
          <w:szCs w:val="18"/>
        </w:rPr>
        <w:t xml:space="preserve"> 23 September 2004).</w:t>
      </w:r>
    </w:p>
  </w:footnote>
  <w:footnote w:id="91">
    <w:p w14:paraId="1467B572" w14:textId="4D1FF90B" w:rsidR="00C42470" w:rsidRPr="001E2538" w:rsidRDefault="00C42470"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C34623" w:rsidRPr="001E2538">
        <w:rPr>
          <w:rFonts w:asciiTheme="minorHAnsi" w:hAnsiTheme="minorHAnsi" w:cstheme="minorHAnsi"/>
          <w:sz w:val="18"/>
          <w:szCs w:val="18"/>
        </w:rPr>
        <w:t xml:space="preserve">Where she likely oversaw the appointment as Commissioner for the West Midland division of Miss </w:t>
      </w:r>
      <w:proofErr w:type="spellStart"/>
      <w:r w:rsidR="00C34623" w:rsidRPr="001E2538">
        <w:rPr>
          <w:rFonts w:asciiTheme="minorHAnsi" w:hAnsiTheme="minorHAnsi" w:cstheme="minorHAnsi"/>
          <w:sz w:val="18"/>
          <w:szCs w:val="18"/>
        </w:rPr>
        <w:t>Bebb</w:t>
      </w:r>
      <w:proofErr w:type="spellEnd"/>
      <w:r w:rsidR="00C34623" w:rsidRPr="001E2538">
        <w:rPr>
          <w:rFonts w:asciiTheme="minorHAnsi" w:hAnsiTheme="minorHAnsi" w:cstheme="minorHAnsi"/>
          <w:sz w:val="18"/>
          <w:szCs w:val="18"/>
        </w:rPr>
        <w:t xml:space="preserve">, latterly </w:t>
      </w:r>
      <w:r w:rsidR="00B7309B" w:rsidRPr="001E2538">
        <w:rPr>
          <w:rFonts w:asciiTheme="minorHAnsi" w:hAnsiTheme="minorHAnsi" w:cstheme="minorHAnsi"/>
          <w:sz w:val="18"/>
          <w:szCs w:val="18"/>
        </w:rPr>
        <w:t>of</w:t>
      </w:r>
      <w:r w:rsidR="00C34623" w:rsidRPr="001E2538">
        <w:rPr>
          <w:rFonts w:asciiTheme="minorHAnsi" w:hAnsiTheme="minorHAnsi" w:cstheme="minorHAnsi"/>
          <w:sz w:val="18"/>
          <w:szCs w:val="18"/>
        </w:rPr>
        <w:t xml:space="preserve"> </w:t>
      </w:r>
      <w:proofErr w:type="spellStart"/>
      <w:r w:rsidR="00C34623" w:rsidRPr="001E2538">
        <w:rPr>
          <w:rFonts w:asciiTheme="minorHAnsi" w:hAnsiTheme="minorHAnsi" w:cstheme="minorHAnsi"/>
          <w:i/>
          <w:iCs/>
          <w:sz w:val="18"/>
          <w:szCs w:val="18"/>
        </w:rPr>
        <w:t>Bebb</w:t>
      </w:r>
      <w:proofErr w:type="spellEnd"/>
      <w:r w:rsidR="00C34623" w:rsidRPr="001E2538">
        <w:rPr>
          <w:rFonts w:asciiTheme="minorHAnsi" w:hAnsiTheme="minorHAnsi" w:cstheme="minorHAnsi"/>
          <w:i/>
          <w:iCs/>
          <w:sz w:val="18"/>
          <w:szCs w:val="18"/>
        </w:rPr>
        <w:t xml:space="preserve"> v Law Society </w:t>
      </w:r>
      <w:r w:rsidR="00B7309B" w:rsidRPr="001E2538">
        <w:rPr>
          <w:rFonts w:asciiTheme="minorHAnsi" w:hAnsiTheme="minorHAnsi" w:cstheme="minorHAnsi"/>
          <w:sz w:val="18"/>
          <w:szCs w:val="18"/>
        </w:rPr>
        <w:t xml:space="preserve">[1913] EWHC 1 </w:t>
      </w:r>
      <w:r w:rsidR="00C34623" w:rsidRPr="001E2538">
        <w:rPr>
          <w:rFonts w:asciiTheme="minorHAnsi" w:hAnsiTheme="minorHAnsi" w:cstheme="minorHAnsi"/>
          <w:sz w:val="18"/>
          <w:szCs w:val="18"/>
        </w:rPr>
        <w:t>(</w:t>
      </w:r>
      <w:proofErr w:type="spellStart"/>
      <w:r w:rsidRPr="001E2538">
        <w:rPr>
          <w:rFonts w:asciiTheme="minorHAnsi" w:hAnsiTheme="minorHAnsi" w:cstheme="minorHAnsi"/>
          <w:sz w:val="18"/>
          <w:szCs w:val="18"/>
        </w:rPr>
        <w:t>Auchmuty</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n </w:t>
      </w:r>
      <w:r w:rsidR="003738E5" w:rsidRPr="001E2538">
        <w:rPr>
          <w:rFonts w:asciiTheme="minorHAnsi" w:hAnsiTheme="minorHAnsi" w:cstheme="minorHAnsi"/>
          <w:sz w:val="18"/>
          <w:szCs w:val="18"/>
        </w:rPr>
        <w:t>1</w:t>
      </w:r>
      <w:r w:rsidR="00356F07">
        <w:rPr>
          <w:rFonts w:asciiTheme="minorHAnsi" w:hAnsiTheme="minorHAnsi" w:cstheme="minorHAnsi"/>
          <w:sz w:val="18"/>
          <w:szCs w:val="18"/>
        </w:rPr>
        <w:t>5</w:t>
      </w:r>
      <w:r w:rsidR="00684D4C"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00684D4C" w:rsidRPr="001E2538">
        <w:rPr>
          <w:rFonts w:asciiTheme="minorHAnsi" w:hAnsiTheme="minorHAnsi" w:cstheme="minorHAnsi"/>
          <w:sz w:val="18"/>
          <w:szCs w:val="18"/>
        </w:rPr>
        <w:t>218</w:t>
      </w:r>
      <w:r w:rsidR="00C34623" w:rsidRPr="001E2538">
        <w:rPr>
          <w:rFonts w:asciiTheme="minorHAnsi" w:hAnsiTheme="minorHAnsi" w:cstheme="minorHAnsi"/>
          <w:sz w:val="18"/>
          <w:szCs w:val="18"/>
        </w:rPr>
        <w:t>)</w:t>
      </w:r>
    </w:p>
  </w:footnote>
  <w:footnote w:id="92">
    <w:p w14:paraId="1A396EF7" w14:textId="0AEF205E" w:rsidR="00F5577C" w:rsidRPr="001E2538" w:rsidRDefault="00F5577C"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In discussion with Lady Asquit</w:t>
      </w:r>
      <w:r w:rsidR="00174695" w:rsidRPr="001E2538">
        <w:rPr>
          <w:rFonts w:asciiTheme="minorHAnsi" w:hAnsiTheme="minorHAnsi" w:cstheme="minorHAnsi"/>
          <w:sz w:val="18"/>
          <w:szCs w:val="18"/>
        </w:rPr>
        <w:t xml:space="preserve">h on ‘Late Night Line-Up: The Suffragettes’ </w:t>
      </w:r>
      <w:r w:rsidRPr="001E2538">
        <w:rPr>
          <w:rFonts w:asciiTheme="minorHAnsi" w:hAnsiTheme="minorHAnsi" w:cstheme="minorHAnsi"/>
          <w:sz w:val="18"/>
          <w:szCs w:val="18"/>
        </w:rPr>
        <w:t>chaired by Joan Bakewell</w:t>
      </w:r>
      <w:r w:rsidR="00174695" w:rsidRPr="001E2538">
        <w:rPr>
          <w:rFonts w:asciiTheme="minorHAnsi" w:hAnsiTheme="minorHAnsi" w:cstheme="minorHAnsi"/>
          <w:sz w:val="18"/>
          <w:szCs w:val="18"/>
        </w:rPr>
        <w:t xml:space="preserve"> and first broadcast on </w:t>
      </w:r>
      <w:r w:rsidRPr="001E2538">
        <w:rPr>
          <w:rFonts w:asciiTheme="minorHAnsi" w:hAnsiTheme="minorHAnsi" w:cstheme="minorHAnsi"/>
          <w:sz w:val="18"/>
          <w:szCs w:val="18"/>
        </w:rPr>
        <w:t>BBC</w:t>
      </w:r>
      <w:r w:rsidR="00174695" w:rsidRPr="001E2538">
        <w:rPr>
          <w:rFonts w:asciiTheme="minorHAnsi" w:hAnsiTheme="minorHAnsi" w:cstheme="minorHAnsi"/>
          <w:sz w:val="18"/>
          <w:szCs w:val="18"/>
        </w:rPr>
        <w:t xml:space="preserve"> Two on 1</w:t>
      </w:r>
      <w:r w:rsidRPr="001E2538">
        <w:rPr>
          <w:rFonts w:asciiTheme="minorHAnsi" w:hAnsiTheme="minorHAnsi" w:cstheme="minorHAnsi"/>
          <w:sz w:val="18"/>
          <w:szCs w:val="18"/>
        </w:rPr>
        <w:t xml:space="preserve"> February 1968.</w:t>
      </w:r>
    </w:p>
  </w:footnote>
  <w:footnote w:id="93">
    <w:p w14:paraId="67B11C05" w14:textId="3AD1121B" w:rsidR="00F5577C" w:rsidRPr="001E2538" w:rsidRDefault="00F5577C"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Eliza </w:t>
      </w:r>
      <w:proofErr w:type="spellStart"/>
      <w:r w:rsidRPr="001E2538">
        <w:rPr>
          <w:rFonts w:asciiTheme="minorHAnsi" w:hAnsiTheme="minorHAnsi" w:cstheme="minorHAnsi"/>
          <w:sz w:val="18"/>
          <w:szCs w:val="18"/>
        </w:rPr>
        <w:t>Riedi</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‘Options for an Imperialist Woman: The Case of Violet Markham, 1899-1914’ (2000) 31(1) </w:t>
      </w:r>
      <w:r w:rsidRPr="001E2538">
        <w:rPr>
          <w:rFonts w:asciiTheme="minorHAnsi" w:hAnsiTheme="minorHAnsi" w:cstheme="minorHAnsi"/>
          <w:i/>
          <w:iCs/>
          <w:sz w:val="18"/>
          <w:szCs w:val="18"/>
        </w:rPr>
        <w:t>Albion: A Quarterly Journal Concerned with British Studie</w:t>
      </w:r>
      <w:r w:rsidR="006F7509" w:rsidRPr="001E2538">
        <w:rPr>
          <w:rFonts w:asciiTheme="minorHAnsi" w:hAnsiTheme="minorHAnsi" w:cstheme="minorHAnsi"/>
          <w:i/>
          <w:iCs/>
          <w:sz w:val="18"/>
          <w:szCs w:val="18"/>
        </w:rPr>
        <w:t>s</w:t>
      </w:r>
      <w:r w:rsidRPr="001E2538">
        <w:rPr>
          <w:rFonts w:asciiTheme="minorHAnsi" w:hAnsiTheme="minorHAnsi" w:cstheme="minorHAnsi"/>
          <w:sz w:val="18"/>
          <w:szCs w:val="18"/>
        </w:rPr>
        <w:t xml:space="preserve"> 59-84.</w:t>
      </w:r>
      <w:r w:rsidR="004B4C3F" w:rsidRPr="001E2538">
        <w:rPr>
          <w:rFonts w:asciiTheme="minorHAnsi" w:hAnsiTheme="minorHAnsi" w:cstheme="minorHAnsi"/>
          <w:sz w:val="18"/>
          <w:szCs w:val="18"/>
        </w:rPr>
        <w:t xml:space="preserve"> Though, as with the vote, she may well also have had a change of heart in relation to this too.  Her </w:t>
      </w:r>
      <w:r w:rsidR="00356F07" w:rsidRPr="001E2538">
        <w:rPr>
          <w:rFonts w:asciiTheme="minorHAnsi" w:hAnsiTheme="minorHAnsi" w:cstheme="minorHAnsi"/>
          <w:i/>
          <w:iCs/>
          <w:sz w:val="18"/>
          <w:szCs w:val="18"/>
        </w:rPr>
        <w:t>Oxford Dictionary of National Biography</w:t>
      </w:r>
      <w:r w:rsidR="00356F07" w:rsidRPr="001E2538">
        <w:rPr>
          <w:rFonts w:asciiTheme="minorHAnsi" w:hAnsiTheme="minorHAnsi" w:cstheme="minorHAnsi"/>
          <w:sz w:val="18"/>
          <w:szCs w:val="18"/>
        </w:rPr>
        <w:t xml:space="preserve"> </w:t>
      </w:r>
      <w:r w:rsidR="00A17E2B">
        <w:rPr>
          <w:rFonts w:asciiTheme="minorHAnsi" w:hAnsiTheme="minorHAnsi" w:cstheme="minorHAnsi"/>
          <w:sz w:val="18"/>
          <w:szCs w:val="18"/>
        </w:rPr>
        <w:t xml:space="preserve">entry </w:t>
      </w:r>
      <w:r w:rsidR="004B4C3F" w:rsidRPr="001E2538">
        <w:rPr>
          <w:rFonts w:asciiTheme="minorHAnsi" w:hAnsiTheme="minorHAnsi" w:cstheme="minorHAnsi"/>
          <w:sz w:val="18"/>
          <w:szCs w:val="18"/>
        </w:rPr>
        <w:t xml:space="preserve">suggests that over time her views on the empire ‘evolved’ under the influence of Canadian politician, Mackenzie King (Jones n </w:t>
      </w:r>
      <w:r w:rsidR="004F7A5E" w:rsidRPr="001E2538">
        <w:rPr>
          <w:rFonts w:asciiTheme="minorHAnsi" w:hAnsiTheme="minorHAnsi" w:cstheme="minorHAnsi"/>
          <w:sz w:val="18"/>
          <w:szCs w:val="18"/>
        </w:rPr>
        <w:t>8</w:t>
      </w:r>
      <w:r w:rsidR="00356F07">
        <w:rPr>
          <w:rFonts w:asciiTheme="minorHAnsi" w:hAnsiTheme="minorHAnsi" w:cstheme="minorHAnsi"/>
          <w:sz w:val="18"/>
          <w:szCs w:val="18"/>
        </w:rPr>
        <w:t>7</w:t>
      </w:r>
      <w:r w:rsidR="004B4C3F" w:rsidRPr="001E2538">
        <w:rPr>
          <w:rFonts w:asciiTheme="minorHAnsi" w:hAnsiTheme="minorHAnsi" w:cstheme="minorHAnsi"/>
          <w:sz w:val="18"/>
          <w:szCs w:val="18"/>
        </w:rPr>
        <w:t>).</w:t>
      </w:r>
    </w:p>
  </w:footnote>
  <w:footnote w:id="94">
    <w:p w14:paraId="55727C1D" w14:textId="0249F022" w:rsidR="00053859" w:rsidRPr="001E2538" w:rsidRDefault="00053859"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8D1B87" w:rsidRPr="001E2538">
        <w:rPr>
          <w:rFonts w:asciiTheme="minorHAnsi" w:hAnsiTheme="minorHAnsi" w:cstheme="minorHAnsi"/>
          <w:sz w:val="18"/>
          <w:szCs w:val="18"/>
        </w:rPr>
        <w:t>Mackenzie</w:t>
      </w:r>
      <w:r w:rsidR="004F7A5E" w:rsidRPr="001E2538">
        <w:rPr>
          <w:rFonts w:asciiTheme="minorHAnsi" w:hAnsiTheme="minorHAnsi" w:cstheme="minorHAnsi"/>
          <w:sz w:val="18"/>
          <w:szCs w:val="18"/>
        </w:rPr>
        <w:t>,</w:t>
      </w:r>
      <w:r w:rsidR="008D1B87" w:rsidRPr="001E2538">
        <w:rPr>
          <w:rFonts w:asciiTheme="minorHAnsi" w:hAnsiTheme="minorHAnsi" w:cstheme="minorHAnsi"/>
          <w:sz w:val="18"/>
          <w:szCs w:val="18"/>
        </w:rPr>
        <w:t xml:space="preserve"> n </w:t>
      </w:r>
      <w:r w:rsidR="00356F07">
        <w:rPr>
          <w:rFonts w:asciiTheme="minorHAnsi" w:hAnsiTheme="minorHAnsi" w:cstheme="minorHAnsi"/>
          <w:sz w:val="18"/>
          <w:szCs w:val="18"/>
        </w:rPr>
        <w:t>82</w:t>
      </w:r>
      <w:r w:rsidR="003738E5" w:rsidRPr="001E2538">
        <w:rPr>
          <w:rFonts w:asciiTheme="minorHAnsi" w:hAnsiTheme="minorHAnsi" w:cstheme="minorHAnsi"/>
          <w:sz w:val="18"/>
          <w:szCs w:val="18"/>
        </w:rPr>
        <w:t>,</w:t>
      </w:r>
      <w:r w:rsidRPr="001E2538">
        <w:rPr>
          <w:rFonts w:asciiTheme="minorHAnsi" w:hAnsiTheme="minorHAnsi" w:cstheme="minorHAnsi"/>
          <w:sz w:val="18"/>
          <w:szCs w:val="18"/>
        </w:rPr>
        <w:t xml:space="preserve"> 25.</w:t>
      </w:r>
    </w:p>
  </w:footnote>
  <w:footnote w:id="95">
    <w:p w14:paraId="0F8D8E1F" w14:textId="3A5029D2" w:rsidR="008D1B87" w:rsidRPr="001E2538" w:rsidRDefault="008D1B87"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June </w:t>
      </w:r>
      <w:proofErr w:type="spellStart"/>
      <w:r w:rsidRPr="001E2538">
        <w:rPr>
          <w:rFonts w:asciiTheme="minorHAnsi" w:hAnsiTheme="minorHAnsi" w:cstheme="minorHAnsi"/>
          <w:sz w:val="18"/>
          <w:szCs w:val="18"/>
        </w:rPr>
        <w:t>Hannam</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‘Women and politics’ in June Purvis (ed)</w:t>
      </w:r>
      <w:r w:rsidR="00DF4C18"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 xml:space="preserve">Women’s History: Britain, 1850-1945 An Introduction </w:t>
      </w:r>
      <w:r w:rsidRPr="001E2538">
        <w:rPr>
          <w:rFonts w:asciiTheme="minorHAnsi" w:hAnsiTheme="minorHAnsi" w:cstheme="minorHAnsi"/>
          <w:sz w:val="18"/>
          <w:szCs w:val="18"/>
        </w:rPr>
        <w:t>(Routledge 1995) 217.</w:t>
      </w:r>
    </w:p>
  </w:footnote>
  <w:footnote w:id="96">
    <w:p w14:paraId="3B696426" w14:textId="0062688A" w:rsidR="006B42D5" w:rsidRPr="001E2538" w:rsidRDefault="006B42D5"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Cheryl Thomas</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 xml:space="preserve">Judicial Diversity in the United </w:t>
      </w:r>
      <w:proofErr w:type="gramStart"/>
      <w:r w:rsidRPr="001E2538">
        <w:rPr>
          <w:rFonts w:asciiTheme="minorHAnsi" w:hAnsiTheme="minorHAnsi" w:cstheme="minorHAnsi"/>
          <w:i/>
          <w:iCs/>
          <w:sz w:val="18"/>
          <w:szCs w:val="18"/>
        </w:rPr>
        <w:t>Kingdom</w:t>
      </w:r>
      <w:proofErr w:type="gramEnd"/>
      <w:r w:rsidRPr="001E2538">
        <w:rPr>
          <w:rFonts w:asciiTheme="minorHAnsi" w:hAnsiTheme="minorHAnsi" w:cstheme="minorHAnsi"/>
          <w:i/>
          <w:iCs/>
          <w:sz w:val="18"/>
          <w:szCs w:val="18"/>
        </w:rPr>
        <w:t xml:space="preserve"> and Other Jurisdictions: A Review of Research, Policies and Practices</w:t>
      </w:r>
      <w:r w:rsidRPr="001E2538">
        <w:rPr>
          <w:rFonts w:asciiTheme="minorHAnsi" w:hAnsiTheme="minorHAnsi" w:cstheme="minorHAnsi"/>
          <w:sz w:val="18"/>
          <w:szCs w:val="18"/>
        </w:rPr>
        <w:t xml:space="preserve"> (Commission for Judicial Appointments 2005) 114</w:t>
      </w:r>
    </w:p>
  </w:footnote>
  <w:footnote w:id="97">
    <w:p w14:paraId="321CFEBF" w14:textId="5A513765" w:rsidR="009A6D01" w:rsidRPr="001E2538" w:rsidRDefault="009A6D01"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Richard Ekins and Graham Gee</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 xml:space="preserve">Reforming the Lord Chancellor’s Role in Senior Judicial Appointments </w:t>
      </w:r>
      <w:r w:rsidRPr="001E2538">
        <w:rPr>
          <w:rFonts w:asciiTheme="minorHAnsi" w:hAnsiTheme="minorHAnsi" w:cstheme="minorHAnsi"/>
          <w:sz w:val="18"/>
          <w:szCs w:val="18"/>
        </w:rPr>
        <w:t>(Policy Exchange 2021) 23.</w:t>
      </w:r>
    </w:p>
  </w:footnote>
  <w:footnote w:id="98">
    <w:p w14:paraId="5801B183" w14:textId="3204FEFF" w:rsidR="005E5B3D" w:rsidRPr="001E2538" w:rsidRDefault="005E5B3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On Article 7 see further Aoife O’Donoghue</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‘Article 7 of the Covenant of the League of Nations, 1919’ in Erika Rackley and Rosemary </w:t>
      </w:r>
      <w:proofErr w:type="spellStart"/>
      <w:r w:rsidRPr="001E2538">
        <w:rPr>
          <w:rFonts w:asciiTheme="minorHAnsi" w:hAnsiTheme="minorHAnsi" w:cstheme="minorHAnsi"/>
          <w:sz w:val="18"/>
          <w:szCs w:val="18"/>
        </w:rPr>
        <w:t>Auchmuty</w:t>
      </w:r>
      <w:proofErr w:type="spellEnd"/>
      <w:r w:rsidRPr="001E2538">
        <w:rPr>
          <w:rFonts w:asciiTheme="minorHAnsi" w:hAnsiTheme="minorHAnsi" w:cstheme="minorHAnsi"/>
          <w:sz w:val="18"/>
          <w:szCs w:val="18"/>
        </w:rPr>
        <w:t xml:space="preserve"> (eds)</w:t>
      </w:r>
      <w:r w:rsidR="00DF4C18"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Women’s Legal Landmarks: Celebrating the History of Women and Law in the UK and Ireland</w:t>
      </w:r>
      <w:r w:rsidRPr="001E2538">
        <w:rPr>
          <w:rFonts w:asciiTheme="minorHAnsi" w:hAnsiTheme="minorHAnsi" w:cstheme="minorHAnsi"/>
          <w:sz w:val="18"/>
          <w:szCs w:val="18"/>
        </w:rPr>
        <w:t xml:space="preserve"> (Hart </w:t>
      </w:r>
      <w:r w:rsidR="00356F07">
        <w:rPr>
          <w:rFonts w:asciiTheme="minorHAnsi" w:hAnsiTheme="minorHAnsi" w:cstheme="minorHAnsi"/>
          <w:sz w:val="18"/>
          <w:szCs w:val="18"/>
        </w:rPr>
        <w:t xml:space="preserve">Publishing </w:t>
      </w:r>
      <w:r w:rsidRPr="001E2538">
        <w:rPr>
          <w:rFonts w:asciiTheme="minorHAnsi" w:hAnsiTheme="minorHAnsi" w:cstheme="minorHAnsi"/>
          <w:sz w:val="18"/>
          <w:szCs w:val="18"/>
        </w:rPr>
        <w:t>2019) 125.</w:t>
      </w:r>
    </w:p>
  </w:footnote>
  <w:footnote w:id="99">
    <w:p w14:paraId="5403CE33" w14:textId="7EDA7832" w:rsidR="005E5B3D" w:rsidRPr="001E2538" w:rsidRDefault="005E5B3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90564B" w:rsidRPr="001E2538">
        <w:rPr>
          <w:rFonts w:asciiTheme="minorHAnsi" w:hAnsiTheme="minorHAnsi" w:cstheme="minorHAnsi"/>
          <w:sz w:val="18"/>
          <w:szCs w:val="18"/>
        </w:rPr>
        <w:t>Having been a ‘close ally’ of Violet Markham in the anti-suffrage movement before the war (</w:t>
      </w:r>
      <w:r w:rsidRPr="001E2538">
        <w:rPr>
          <w:rFonts w:asciiTheme="minorHAnsi" w:hAnsiTheme="minorHAnsi" w:cstheme="minorHAnsi"/>
          <w:sz w:val="18"/>
          <w:szCs w:val="18"/>
        </w:rPr>
        <w:t>Violet Markham</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 xml:space="preserve">Return Passage: The Autobiography of Violet Markham CH </w:t>
      </w:r>
      <w:r w:rsidRPr="001E2538">
        <w:rPr>
          <w:rFonts w:asciiTheme="minorHAnsi" w:hAnsiTheme="minorHAnsi" w:cstheme="minorHAnsi"/>
          <w:sz w:val="18"/>
          <w:szCs w:val="18"/>
        </w:rPr>
        <w:t>(Oxford University Press 1953) 100</w:t>
      </w:r>
      <w:r w:rsidR="0090564B"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p>
  </w:footnote>
  <w:footnote w:id="100">
    <w:p w14:paraId="310A4BAD" w14:textId="040DEB14" w:rsidR="005E5B3D" w:rsidRPr="001E2538" w:rsidRDefault="005E5B3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In 1920 </w:t>
      </w:r>
      <w:r w:rsidR="0090564B" w:rsidRPr="001E2538">
        <w:rPr>
          <w:rFonts w:asciiTheme="minorHAnsi" w:hAnsiTheme="minorHAnsi" w:cstheme="minorHAnsi"/>
          <w:sz w:val="18"/>
          <w:szCs w:val="18"/>
        </w:rPr>
        <w:t>Hills</w:t>
      </w:r>
      <w:r w:rsidRPr="001E2538">
        <w:rPr>
          <w:rFonts w:asciiTheme="minorHAnsi" w:hAnsiTheme="minorHAnsi" w:cstheme="minorHAnsi"/>
          <w:sz w:val="18"/>
          <w:szCs w:val="18"/>
        </w:rPr>
        <w:t xml:space="preserve"> would chair a banquet, organised by the Committee to Obtain the Opening of the Legal Profession to Women, at the House of Commons to celebrate the admission of women to the legal profession (</w:t>
      </w:r>
      <w:proofErr w:type="spellStart"/>
      <w:r w:rsidRPr="001E2538">
        <w:rPr>
          <w:rFonts w:asciiTheme="minorHAnsi" w:hAnsiTheme="minorHAnsi" w:cstheme="minorHAnsi"/>
          <w:sz w:val="18"/>
          <w:szCs w:val="18"/>
        </w:rPr>
        <w:t>Auchmuty</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n </w:t>
      </w:r>
      <w:r w:rsidR="00F143F7" w:rsidRPr="001E2538">
        <w:rPr>
          <w:rFonts w:asciiTheme="minorHAnsi" w:hAnsiTheme="minorHAnsi" w:cstheme="minorHAnsi"/>
          <w:sz w:val="18"/>
          <w:szCs w:val="18"/>
        </w:rPr>
        <w:t>1</w:t>
      </w:r>
      <w:r w:rsidR="00356F07">
        <w:rPr>
          <w:rFonts w:asciiTheme="minorHAnsi" w:hAnsiTheme="minorHAnsi" w:cstheme="minorHAnsi"/>
          <w:sz w:val="18"/>
          <w:szCs w:val="18"/>
        </w:rPr>
        <w:t>5</w:t>
      </w:r>
      <w:r w:rsidRPr="001E2538">
        <w:rPr>
          <w:rFonts w:asciiTheme="minorHAnsi" w:hAnsiTheme="minorHAnsi" w:cstheme="minorHAnsi"/>
          <w:sz w:val="18"/>
          <w:szCs w:val="18"/>
        </w:rPr>
        <w:t>, 212, 218, 220, 224-225).</w:t>
      </w:r>
    </w:p>
  </w:footnote>
  <w:footnote w:id="101">
    <w:p w14:paraId="16B63FD1" w14:textId="77777777" w:rsidR="0090564B" w:rsidRPr="001E2538" w:rsidRDefault="0090564B"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Philip Williamson ‘Horne, Robert Stevenson, Viscount Horne of </w:t>
      </w:r>
      <w:proofErr w:type="spellStart"/>
      <w:r w:rsidRPr="001E2538">
        <w:rPr>
          <w:rFonts w:asciiTheme="minorHAnsi" w:hAnsiTheme="minorHAnsi" w:cstheme="minorHAnsi"/>
          <w:sz w:val="18"/>
          <w:szCs w:val="18"/>
        </w:rPr>
        <w:t>Slamannan</w:t>
      </w:r>
      <w:proofErr w:type="spellEnd"/>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Oxford Dictionary of National Biography</w:t>
      </w:r>
      <w:r w:rsidRPr="001E2538">
        <w:rPr>
          <w:rFonts w:asciiTheme="minorHAnsi" w:hAnsiTheme="minorHAnsi" w:cstheme="minorHAnsi"/>
          <w:sz w:val="18"/>
          <w:szCs w:val="18"/>
        </w:rPr>
        <w:t xml:space="preserve"> 23 September 2024, revised 6 January 2011.</w:t>
      </w:r>
    </w:p>
  </w:footnote>
  <w:footnote w:id="102">
    <w:p w14:paraId="4774355D" w14:textId="0159C6E5" w:rsidR="005E5B3D" w:rsidRPr="001E2538" w:rsidRDefault="005E5B3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90564B" w:rsidRPr="001E2538">
        <w:rPr>
          <w:rFonts w:asciiTheme="minorHAnsi" w:hAnsiTheme="minorHAnsi" w:cstheme="minorHAnsi"/>
          <w:sz w:val="18"/>
          <w:szCs w:val="18"/>
        </w:rPr>
        <w:t>i</w:t>
      </w:r>
      <w:r w:rsidRPr="001E2538">
        <w:rPr>
          <w:rFonts w:asciiTheme="minorHAnsi" w:hAnsiTheme="minorHAnsi" w:cstheme="minorHAnsi"/>
          <w:sz w:val="18"/>
          <w:szCs w:val="18"/>
        </w:rPr>
        <w:t>bid.</w:t>
      </w:r>
    </w:p>
  </w:footnote>
  <w:footnote w:id="103">
    <w:p w14:paraId="502FF9FD" w14:textId="54DFE577" w:rsidR="005E5B3D" w:rsidRPr="001E2538" w:rsidRDefault="005E5B3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Caroline Derry</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‘Monica Geikie Cobb’ in Rosemary </w:t>
      </w:r>
      <w:proofErr w:type="spellStart"/>
      <w:r w:rsidRPr="001E2538">
        <w:rPr>
          <w:rFonts w:asciiTheme="minorHAnsi" w:hAnsiTheme="minorHAnsi" w:cstheme="minorHAnsi"/>
          <w:sz w:val="18"/>
          <w:szCs w:val="18"/>
        </w:rPr>
        <w:t>Auchmuty</w:t>
      </w:r>
      <w:proofErr w:type="spellEnd"/>
      <w:r w:rsidRPr="001E2538">
        <w:rPr>
          <w:rFonts w:asciiTheme="minorHAnsi" w:hAnsiTheme="minorHAnsi" w:cstheme="minorHAnsi"/>
          <w:sz w:val="18"/>
          <w:szCs w:val="18"/>
        </w:rPr>
        <w:t xml:space="preserve">, Erika Rackley and Mari </w:t>
      </w:r>
      <w:proofErr w:type="spellStart"/>
      <w:r w:rsidRPr="001E2538">
        <w:rPr>
          <w:rFonts w:asciiTheme="minorHAnsi" w:hAnsiTheme="minorHAnsi" w:cstheme="minorHAnsi"/>
          <w:sz w:val="18"/>
          <w:szCs w:val="18"/>
        </w:rPr>
        <w:t>Takayanagi</w:t>
      </w:r>
      <w:proofErr w:type="spellEnd"/>
      <w:r w:rsidR="00DF4C18" w:rsidRPr="001E2538">
        <w:rPr>
          <w:rFonts w:asciiTheme="minorHAnsi" w:hAnsiTheme="minorHAnsi" w:cstheme="minorHAnsi"/>
          <w:sz w:val="18"/>
          <w:szCs w:val="18"/>
        </w:rPr>
        <w:t xml:space="preserve"> </w:t>
      </w:r>
      <w:r w:rsidRPr="001E2538">
        <w:rPr>
          <w:rFonts w:asciiTheme="minorHAnsi" w:hAnsiTheme="minorHAnsi" w:cstheme="minorHAnsi"/>
          <w:sz w:val="18"/>
          <w:szCs w:val="18"/>
        </w:rPr>
        <w:t>(eds)</w:t>
      </w:r>
      <w:r w:rsidR="00DF4C18"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Women’s Legal Landmarks in the Interwar Years: Not for the Want of Trying</w:t>
      </w:r>
      <w:r w:rsidRPr="001E2538">
        <w:rPr>
          <w:rFonts w:asciiTheme="minorHAnsi" w:hAnsiTheme="minorHAnsi" w:cstheme="minorHAnsi"/>
          <w:sz w:val="18"/>
          <w:szCs w:val="18"/>
        </w:rPr>
        <w:t xml:space="preserve"> (Hart Publishing </w:t>
      </w:r>
      <w:r w:rsidRPr="001E2538">
        <w:rPr>
          <w:rFonts w:asciiTheme="minorHAnsi" w:hAnsiTheme="minorHAnsi" w:cstheme="minorHAnsi"/>
          <w:i/>
          <w:iCs/>
          <w:sz w:val="18"/>
          <w:szCs w:val="18"/>
        </w:rPr>
        <w:t>forthcoming</w:t>
      </w:r>
      <w:r w:rsidRPr="001E2538">
        <w:rPr>
          <w:rFonts w:asciiTheme="minorHAnsi" w:hAnsiTheme="minorHAnsi" w:cstheme="minorHAnsi"/>
          <w:sz w:val="18"/>
          <w:szCs w:val="18"/>
        </w:rPr>
        <w:t xml:space="preserve">). </w:t>
      </w:r>
    </w:p>
  </w:footnote>
  <w:footnote w:id="104">
    <w:p w14:paraId="6DE067BE" w14:textId="250021DA" w:rsidR="00174695" w:rsidRPr="00B47AF7" w:rsidRDefault="00174695"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Though this is not to suggest this did not happen</w:t>
      </w:r>
      <w:r w:rsidR="00347478" w:rsidRPr="001E2538">
        <w:rPr>
          <w:rFonts w:asciiTheme="minorHAnsi" w:hAnsiTheme="minorHAnsi" w:cstheme="minorHAnsi"/>
          <w:sz w:val="18"/>
          <w:szCs w:val="18"/>
        </w:rPr>
        <w:t xml:space="preserve"> at all</w:t>
      </w:r>
      <w:r w:rsidRPr="001E2538">
        <w:rPr>
          <w:rFonts w:asciiTheme="minorHAnsi" w:hAnsiTheme="minorHAnsi" w:cstheme="minorHAnsi"/>
          <w:sz w:val="18"/>
          <w:szCs w:val="18"/>
        </w:rPr>
        <w:t xml:space="preserve">. </w:t>
      </w:r>
      <w:r w:rsidR="008D1B87" w:rsidRPr="001E2538">
        <w:rPr>
          <w:rFonts w:asciiTheme="minorHAnsi" w:hAnsiTheme="minorHAnsi" w:cstheme="minorHAnsi"/>
          <w:sz w:val="18"/>
          <w:szCs w:val="18"/>
        </w:rPr>
        <w:t xml:space="preserve">There was significant lobbying in relation to the representation of organised women on the Court </w:t>
      </w:r>
      <w:r w:rsidR="008D1B87" w:rsidRPr="00B47AF7">
        <w:rPr>
          <w:rFonts w:asciiTheme="minorHAnsi" w:hAnsiTheme="minorHAnsi" w:cstheme="minorHAnsi"/>
          <w:sz w:val="18"/>
          <w:szCs w:val="18"/>
        </w:rPr>
        <w:t xml:space="preserve">following the passing of the Act and </w:t>
      </w:r>
      <w:r w:rsidRPr="00B47AF7">
        <w:rPr>
          <w:rFonts w:asciiTheme="minorHAnsi" w:hAnsiTheme="minorHAnsi" w:cstheme="minorHAnsi"/>
          <w:sz w:val="18"/>
          <w:szCs w:val="18"/>
        </w:rPr>
        <w:t>Gertrude T</w:t>
      </w:r>
      <w:r w:rsidR="003C7FDF" w:rsidRPr="00B47AF7">
        <w:rPr>
          <w:rFonts w:asciiTheme="minorHAnsi" w:hAnsiTheme="minorHAnsi" w:cstheme="minorHAnsi"/>
          <w:sz w:val="18"/>
          <w:szCs w:val="18"/>
        </w:rPr>
        <w:t>u</w:t>
      </w:r>
      <w:r w:rsidRPr="00B47AF7">
        <w:rPr>
          <w:rFonts w:asciiTheme="minorHAnsi" w:hAnsiTheme="minorHAnsi" w:cstheme="minorHAnsi"/>
          <w:sz w:val="18"/>
          <w:szCs w:val="18"/>
        </w:rPr>
        <w:t>ckwell</w:t>
      </w:r>
      <w:r w:rsidR="008D1B87" w:rsidRPr="00B47AF7">
        <w:rPr>
          <w:rFonts w:asciiTheme="minorHAnsi" w:hAnsiTheme="minorHAnsi" w:cstheme="minorHAnsi"/>
          <w:sz w:val="18"/>
          <w:szCs w:val="18"/>
        </w:rPr>
        <w:t xml:space="preserve"> (</w:t>
      </w:r>
      <w:r w:rsidR="003C7FDF" w:rsidRPr="00B47AF7">
        <w:rPr>
          <w:rFonts w:asciiTheme="minorHAnsi" w:hAnsiTheme="minorHAnsi" w:cstheme="minorHAnsi"/>
          <w:sz w:val="18"/>
          <w:szCs w:val="18"/>
        </w:rPr>
        <w:t xml:space="preserve">Chairman of the </w:t>
      </w:r>
      <w:r w:rsidRPr="00B47AF7">
        <w:rPr>
          <w:rFonts w:asciiTheme="minorHAnsi" w:hAnsiTheme="minorHAnsi" w:cstheme="minorHAnsi"/>
          <w:sz w:val="18"/>
          <w:szCs w:val="18"/>
        </w:rPr>
        <w:t>Women’s Trade Union League</w:t>
      </w:r>
      <w:r w:rsidR="008D1B87" w:rsidRPr="00B47AF7">
        <w:rPr>
          <w:rFonts w:asciiTheme="minorHAnsi" w:hAnsiTheme="minorHAnsi" w:cstheme="minorHAnsi"/>
          <w:sz w:val="18"/>
          <w:szCs w:val="18"/>
        </w:rPr>
        <w:t xml:space="preserve">) </w:t>
      </w:r>
      <w:r w:rsidR="003C7FDF" w:rsidRPr="00B47AF7">
        <w:rPr>
          <w:rFonts w:asciiTheme="minorHAnsi" w:hAnsiTheme="minorHAnsi" w:cstheme="minorHAnsi"/>
          <w:sz w:val="18"/>
          <w:szCs w:val="18"/>
        </w:rPr>
        <w:t>Susan Lawrence</w:t>
      </w:r>
      <w:r w:rsidR="008D1B87" w:rsidRPr="00B47AF7">
        <w:rPr>
          <w:rFonts w:asciiTheme="minorHAnsi" w:hAnsiTheme="minorHAnsi" w:cstheme="minorHAnsi"/>
          <w:sz w:val="18"/>
          <w:szCs w:val="18"/>
        </w:rPr>
        <w:t xml:space="preserve"> (s</w:t>
      </w:r>
      <w:r w:rsidR="003C7FDF" w:rsidRPr="00B47AF7">
        <w:rPr>
          <w:rFonts w:asciiTheme="minorHAnsi" w:hAnsiTheme="minorHAnsi" w:cstheme="minorHAnsi"/>
          <w:sz w:val="18"/>
          <w:szCs w:val="18"/>
        </w:rPr>
        <w:t>ecretary of the Working Women’s Legal Advice Bureau</w:t>
      </w:r>
      <w:r w:rsidR="008D1B87" w:rsidRPr="00B47AF7">
        <w:rPr>
          <w:rFonts w:asciiTheme="minorHAnsi" w:hAnsiTheme="minorHAnsi" w:cstheme="minorHAnsi"/>
          <w:sz w:val="18"/>
          <w:szCs w:val="18"/>
        </w:rPr>
        <w:t>)</w:t>
      </w:r>
      <w:r w:rsidR="00356F07" w:rsidRPr="00B47AF7">
        <w:rPr>
          <w:rFonts w:asciiTheme="minorHAnsi" w:hAnsiTheme="minorHAnsi" w:cstheme="minorHAnsi"/>
          <w:sz w:val="18"/>
          <w:szCs w:val="18"/>
        </w:rPr>
        <w:t>,</w:t>
      </w:r>
      <w:r w:rsidR="003C7FDF" w:rsidRPr="00B47AF7">
        <w:rPr>
          <w:rFonts w:asciiTheme="minorHAnsi" w:hAnsiTheme="minorHAnsi" w:cstheme="minorHAnsi"/>
          <w:sz w:val="18"/>
          <w:szCs w:val="18"/>
        </w:rPr>
        <w:t xml:space="preserve"> Violet Markham, National Federation of Women Workers and Sir Robert Horne </w:t>
      </w:r>
      <w:r w:rsidR="008D1B87" w:rsidRPr="00B47AF7">
        <w:rPr>
          <w:rFonts w:asciiTheme="minorHAnsi" w:hAnsiTheme="minorHAnsi" w:cstheme="minorHAnsi"/>
          <w:sz w:val="18"/>
          <w:szCs w:val="18"/>
        </w:rPr>
        <w:t>were in regular contact</w:t>
      </w:r>
      <w:r w:rsidR="00347478" w:rsidRPr="00B47AF7">
        <w:rPr>
          <w:rFonts w:asciiTheme="minorHAnsi" w:hAnsiTheme="minorHAnsi" w:cstheme="minorHAnsi"/>
          <w:sz w:val="18"/>
          <w:szCs w:val="18"/>
        </w:rPr>
        <w:t xml:space="preserve">. There is no reason to think that this was not also happening </w:t>
      </w:r>
      <w:r w:rsidR="00347478" w:rsidRPr="00B47AF7">
        <w:rPr>
          <w:rFonts w:asciiTheme="minorHAnsi" w:hAnsiTheme="minorHAnsi" w:cstheme="minorHAnsi"/>
          <w:i/>
          <w:iCs/>
          <w:sz w:val="18"/>
          <w:szCs w:val="18"/>
        </w:rPr>
        <w:t>before</w:t>
      </w:r>
      <w:r w:rsidR="00347478" w:rsidRPr="00B47AF7">
        <w:rPr>
          <w:rFonts w:asciiTheme="minorHAnsi" w:hAnsiTheme="minorHAnsi" w:cstheme="minorHAnsi"/>
          <w:sz w:val="18"/>
          <w:szCs w:val="18"/>
        </w:rPr>
        <w:t xml:space="preserve"> </w:t>
      </w:r>
      <w:r w:rsidR="008D1B87" w:rsidRPr="00B47AF7">
        <w:rPr>
          <w:rFonts w:asciiTheme="minorHAnsi" w:hAnsiTheme="minorHAnsi" w:cstheme="minorHAnsi"/>
          <w:sz w:val="18"/>
          <w:szCs w:val="18"/>
        </w:rPr>
        <w:t>the Act</w:t>
      </w:r>
      <w:r w:rsidR="00347478" w:rsidRPr="00B47AF7">
        <w:rPr>
          <w:rFonts w:asciiTheme="minorHAnsi" w:hAnsiTheme="minorHAnsi" w:cstheme="minorHAnsi"/>
          <w:sz w:val="18"/>
          <w:szCs w:val="18"/>
        </w:rPr>
        <w:t xml:space="preserve"> was passed</w:t>
      </w:r>
      <w:r w:rsidR="00C1191E" w:rsidRPr="00B47AF7">
        <w:rPr>
          <w:rFonts w:asciiTheme="minorHAnsi" w:hAnsiTheme="minorHAnsi" w:cstheme="minorHAnsi"/>
          <w:sz w:val="18"/>
          <w:szCs w:val="18"/>
        </w:rPr>
        <w:t>.</w:t>
      </w:r>
      <w:r w:rsidR="00347478" w:rsidRPr="00B47AF7">
        <w:rPr>
          <w:rFonts w:asciiTheme="minorHAnsi" w:hAnsiTheme="minorHAnsi" w:cstheme="minorHAnsi"/>
          <w:sz w:val="18"/>
          <w:szCs w:val="18"/>
        </w:rPr>
        <w:t xml:space="preserve"> (Women’s Library</w:t>
      </w:r>
      <w:r w:rsidR="004D660F" w:rsidRPr="00B47AF7">
        <w:rPr>
          <w:rFonts w:asciiTheme="minorHAnsi" w:hAnsiTheme="minorHAnsi" w:cstheme="minorHAnsi"/>
          <w:sz w:val="18"/>
          <w:szCs w:val="18"/>
        </w:rPr>
        <w:t xml:space="preserve"> archives</w:t>
      </w:r>
      <w:r w:rsidR="00347478" w:rsidRPr="00B47AF7">
        <w:rPr>
          <w:rFonts w:asciiTheme="minorHAnsi" w:hAnsiTheme="minorHAnsi" w:cstheme="minorHAnsi"/>
          <w:sz w:val="18"/>
          <w:szCs w:val="18"/>
        </w:rPr>
        <w:t>, MARKHAM 26/41)</w:t>
      </w:r>
    </w:p>
  </w:footnote>
  <w:footnote w:id="105">
    <w:p w14:paraId="7124743E" w14:textId="7501A5CE" w:rsidR="00C865A6" w:rsidRPr="00B47AF7" w:rsidRDefault="00C865A6" w:rsidP="00E723E9">
      <w:pPr>
        <w:autoSpaceDE w:val="0"/>
        <w:autoSpaceDN w:val="0"/>
        <w:adjustRightInd w:val="0"/>
        <w:snapToGrid w:val="0"/>
        <w:rPr>
          <w:rFonts w:cstheme="minorHAnsi"/>
          <w:sz w:val="18"/>
          <w:szCs w:val="18"/>
        </w:rPr>
      </w:pPr>
      <w:r w:rsidRPr="00B47AF7">
        <w:rPr>
          <w:rStyle w:val="FootnoteReference"/>
          <w:rFonts w:cstheme="minorHAnsi"/>
          <w:sz w:val="18"/>
          <w:szCs w:val="18"/>
        </w:rPr>
        <w:footnoteRef/>
      </w:r>
      <w:r w:rsidRPr="00B47AF7">
        <w:rPr>
          <w:rFonts w:cstheme="minorHAnsi"/>
          <w:sz w:val="18"/>
          <w:szCs w:val="18"/>
        </w:rPr>
        <w:t xml:space="preserve"> </w:t>
      </w:r>
      <w:r w:rsidR="00795DCC" w:rsidRPr="00B47AF7">
        <w:rPr>
          <w:rFonts w:cstheme="minorHAnsi"/>
          <w:sz w:val="18"/>
          <w:szCs w:val="18"/>
        </w:rPr>
        <w:tab/>
      </w:r>
      <w:r w:rsidR="00B47AF7" w:rsidRPr="00B47AF7">
        <w:rPr>
          <w:rFonts w:cstheme="minorHAnsi"/>
          <w:sz w:val="18"/>
          <w:szCs w:val="18"/>
        </w:rPr>
        <w:t xml:space="preserve">Martin Pugh estimates that two-thirds of candidates in the 1918 general election specifically addressed women voters in their promotional literature </w:t>
      </w:r>
      <w:proofErr w:type="gramStart"/>
      <w:r w:rsidR="00B47AF7" w:rsidRPr="00B47AF7">
        <w:rPr>
          <w:rFonts w:cstheme="minorHAnsi"/>
          <w:sz w:val="18"/>
          <w:szCs w:val="18"/>
        </w:rPr>
        <w:t>in order to</w:t>
      </w:r>
      <w:proofErr w:type="gramEnd"/>
      <w:r w:rsidR="00B47AF7" w:rsidRPr="00B47AF7">
        <w:rPr>
          <w:rFonts w:cstheme="minorHAnsi"/>
          <w:sz w:val="18"/>
          <w:szCs w:val="18"/>
        </w:rPr>
        <w:t xml:space="preserve"> actively court women voters</w:t>
      </w:r>
      <w:r w:rsidR="00B47AF7" w:rsidRPr="00B47AF7">
        <w:rPr>
          <w:rFonts w:cstheme="minorHAnsi"/>
          <w:sz w:val="18"/>
          <w:szCs w:val="18"/>
        </w:rPr>
        <w:t xml:space="preserve"> (</w:t>
      </w:r>
      <w:r w:rsidRPr="00B47AF7">
        <w:rPr>
          <w:rFonts w:cstheme="minorHAnsi"/>
          <w:i/>
          <w:iCs/>
          <w:sz w:val="18"/>
          <w:szCs w:val="18"/>
        </w:rPr>
        <w:t>Women and the Women’s Movement in Britain</w:t>
      </w:r>
      <w:r w:rsidRPr="00B47AF7">
        <w:rPr>
          <w:rFonts w:cstheme="minorHAnsi"/>
          <w:sz w:val="18"/>
          <w:szCs w:val="18"/>
        </w:rPr>
        <w:t xml:space="preserve"> (Macmillan 2000) 119</w:t>
      </w:r>
      <w:r w:rsidR="00B47AF7" w:rsidRPr="00B47AF7">
        <w:rPr>
          <w:rFonts w:cstheme="minorHAnsi"/>
          <w:sz w:val="18"/>
          <w:szCs w:val="18"/>
        </w:rPr>
        <w:t>)</w:t>
      </w:r>
      <w:r w:rsidRPr="00B47AF7">
        <w:rPr>
          <w:rFonts w:cstheme="minorHAnsi"/>
          <w:sz w:val="18"/>
          <w:szCs w:val="18"/>
        </w:rPr>
        <w:t>.</w:t>
      </w:r>
    </w:p>
  </w:footnote>
  <w:footnote w:id="106">
    <w:p w14:paraId="5D236934" w14:textId="545B1D39" w:rsidR="00795DCC" w:rsidRPr="00B47AF7" w:rsidRDefault="00795DCC" w:rsidP="00E723E9">
      <w:pPr>
        <w:pStyle w:val="FootnoteText"/>
        <w:adjustRightInd w:val="0"/>
        <w:snapToGrid w:val="0"/>
        <w:rPr>
          <w:rFonts w:asciiTheme="minorHAnsi" w:hAnsiTheme="minorHAnsi" w:cstheme="minorHAnsi"/>
          <w:sz w:val="18"/>
          <w:szCs w:val="18"/>
        </w:rPr>
      </w:pPr>
      <w:r w:rsidRPr="00B47AF7">
        <w:rPr>
          <w:rStyle w:val="FootnoteReference"/>
          <w:rFonts w:asciiTheme="minorHAnsi" w:hAnsiTheme="minorHAnsi" w:cstheme="minorHAnsi"/>
          <w:sz w:val="18"/>
          <w:szCs w:val="18"/>
        </w:rPr>
        <w:footnoteRef/>
      </w:r>
      <w:r w:rsidRPr="00B47AF7">
        <w:rPr>
          <w:rFonts w:asciiTheme="minorHAnsi" w:hAnsiTheme="minorHAnsi" w:cstheme="minorHAnsi"/>
          <w:sz w:val="18"/>
          <w:szCs w:val="18"/>
        </w:rPr>
        <w:t xml:space="preserve"> </w:t>
      </w:r>
      <w:r w:rsidRPr="00B47AF7">
        <w:rPr>
          <w:rFonts w:asciiTheme="minorHAnsi" w:hAnsiTheme="minorHAnsi" w:cstheme="minorHAnsi"/>
          <w:sz w:val="18"/>
          <w:szCs w:val="18"/>
        </w:rPr>
        <w:tab/>
        <w:t>Logan</w:t>
      </w:r>
      <w:r w:rsidR="004F7A5E" w:rsidRPr="00B47AF7">
        <w:rPr>
          <w:rFonts w:asciiTheme="minorHAnsi" w:hAnsiTheme="minorHAnsi" w:cstheme="minorHAnsi"/>
          <w:sz w:val="18"/>
          <w:szCs w:val="18"/>
        </w:rPr>
        <w:t>,</w:t>
      </w:r>
      <w:r w:rsidRPr="00B47AF7">
        <w:rPr>
          <w:rFonts w:asciiTheme="minorHAnsi" w:hAnsiTheme="minorHAnsi" w:cstheme="minorHAnsi"/>
          <w:sz w:val="18"/>
          <w:szCs w:val="18"/>
        </w:rPr>
        <w:t xml:space="preserve"> n </w:t>
      </w:r>
      <w:r w:rsidR="00356F07" w:rsidRPr="00B47AF7">
        <w:rPr>
          <w:rFonts w:asciiTheme="minorHAnsi" w:hAnsiTheme="minorHAnsi" w:cstheme="minorHAnsi"/>
          <w:sz w:val="18"/>
          <w:szCs w:val="18"/>
        </w:rPr>
        <w:t>74</w:t>
      </w:r>
      <w:r w:rsidRPr="00B47AF7">
        <w:rPr>
          <w:rFonts w:asciiTheme="minorHAnsi" w:hAnsiTheme="minorHAnsi" w:cstheme="minorHAnsi"/>
          <w:sz w:val="18"/>
          <w:szCs w:val="18"/>
        </w:rPr>
        <w:t>, 502</w:t>
      </w:r>
    </w:p>
  </w:footnote>
  <w:footnote w:id="107">
    <w:p w14:paraId="705A4C78" w14:textId="2C291AE6" w:rsidR="002E4F87" w:rsidRPr="001E2538" w:rsidRDefault="002E4F87" w:rsidP="00E723E9">
      <w:pPr>
        <w:pStyle w:val="FootnoteText"/>
        <w:adjustRightInd w:val="0"/>
        <w:snapToGrid w:val="0"/>
        <w:rPr>
          <w:rFonts w:asciiTheme="minorHAnsi" w:hAnsiTheme="minorHAnsi" w:cstheme="minorHAnsi"/>
          <w:sz w:val="18"/>
          <w:szCs w:val="18"/>
        </w:rPr>
      </w:pPr>
      <w:r w:rsidRPr="00B47AF7">
        <w:rPr>
          <w:rStyle w:val="FootnoteReference"/>
          <w:rFonts w:asciiTheme="minorHAnsi" w:hAnsiTheme="minorHAnsi" w:cstheme="minorHAnsi"/>
          <w:sz w:val="18"/>
          <w:szCs w:val="18"/>
        </w:rPr>
        <w:footnoteRef/>
      </w:r>
      <w:r w:rsidRPr="00B47AF7">
        <w:rPr>
          <w:rFonts w:asciiTheme="minorHAnsi" w:hAnsiTheme="minorHAnsi" w:cstheme="minorHAnsi"/>
          <w:sz w:val="18"/>
          <w:szCs w:val="18"/>
        </w:rPr>
        <w:t xml:space="preserve"> </w:t>
      </w:r>
      <w:r w:rsidRPr="00B47AF7">
        <w:rPr>
          <w:rFonts w:asciiTheme="minorHAnsi" w:hAnsiTheme="minorHAnsi" w:cstheme="minorHAnsi"/>
          <w:sz w:val="18"/>
          <w:szCs w:val="18"/>
        </w:rPr>
        <w:tab/>
        <w:t xml:space="preserve">See </w:t>
      </w:r>
      <w:proofErr w:type="spellStart"/>
      <w:proofErr w:type="gramStart"/>
      <w:r w:rsidRPr="00B47AF7">
        <w:rPr>
          <w:rFonts w:asciiTheme="minorHAnsi" w:hAnsiTheme="minorHAnsi" w:cstheme="minorHAnsi"/>
          <w:sz w:val="18"/>
          <w:szCs w:val="18"/>
        </w:rPr>
        <w:t>eg</w:t>
      </w:r>
      <w:proofErr w:type="spellEnd"/>
      <w:proofErr w:type="gramEnd"/>
      <w:r w:rsidRPr="00B47AF7">
        <w:rPr>
          <w:rFonts w:asciiTheme="minorHAnsi" w:hAnsiTheme="minorHAnsi" w:cstheme="minorHAnsi"/>
          <w:sz w:val="18"/>
          <w:szCs w:val="18"/>
        </w:rPr>
        <w:t xml:space="preserve"> Catherine </w:t>
      </w:r>
      <w:proofErr w:type="spellStart"/>
      <w:r w:rsidRPr="00B47AF7">
        <w:rPr>
          <w:rFonts w:asciiTheme="minorHAnsi" w:hAnsiTheme="minorHAnsi" w:cstheme="minorHAnsi"/>
          <w:sz w:val="18"/>
          <w:szCs w:val="18"/>
        </w:rPr>
        <w:t>Marren</w:t>
      </w:r>
      <w:proofErr w:type="spellEnd"/>
      <w:r w:rsidRPr="00B47AF7">
        <w:rPr>
          <w:rFonts w:asciiTheme="minorHAnsi" w:hAnsiTheme="minorHAnsi" w:cstheme="minorHAnsi"/>
          <w:sz w:val="18"/>
          <w:szCs w:val="18"/>
        </w:rPr>
        <w:t xml:space="preserve"> and Andrew</w:t>
      </w:r>
      <w:r w:rsidRPr="001E2538">
        <w:rPr>
          <w:rFonts w:asciiTheme="minorHAnsi" w:hAnsiTheme="minorHAnsi" w:cstheme="minorHAnsi"/>
          <w:sz w:val="18"/>
          <w:szCs w:val="18"/>
        </w:rPr>
        <w:t xml:space="preserve"> </w:t>
      </w:r>
      <w:proofErr w:type="spellStart"/>
      <w:r w:rsidRPr="001E2538">
        <w:rPr>
          <w:rFonts w:asciiTheme="minorHAnsi" w:hAnsiTheme="minorHAnsi" w:cstheme="minorHAnsi"/>
          <w:sz w:val="18"/>
          <w:szCs w:val="18"/>
        </w:rPr>
        <w:t>Bazeley</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 xml:space="preserve">Sex and Power 2022 </w:t>
      </w:r>
      <w:r w:rsidRPr="001E2538">
        <w:rPr>
          <w:rFonts w:asciiTheme="minorHAnsi" w:hAnsiTheme="minorHAnsi" w:cstheme="minorHAnsi"/>
          <w:sz w:val="18"/>
          <w:szCs w:val="18"/>
        </w:rPr>
        <w:t xml:space="preserve">(Fawcett Society 2022). </w:t>
      </w:r>
    </w:p>
  </w:footnote>
  <w:footnote w:id="108">
    <w:p w14:paraId="520D1CDF" w14:textId="279D366C" w:rsidR="0012310A" w:rsidRPr="001E2538" w:rsidRDefault="0012310A" w:rsidP="0012310A">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1E2538" w:rsidRPr="001E2538">
        <w:rPr>
          <w:rFonts w:asciiTheme="minorHAnsi" w:hAnsiTheme="minorHAnsi" w:cstheme="minorHAnsi"/>
          <w:sz w:val="18"/>
          <w:szCs w:val="18"/>
        </w:rPr>
        <w:t xml:space="preserve">See </w:t>
      </w:r>
      <w:proofErr w:type="spellStart"/>
      <w:proofErr w:type="gramStart"/>
      <w:r w:rsidR="001E2538" w:rsidRPr="001E2538">
        <w:rPr>
          <w:rFonts w:asciiTheme="minorHAnsi" w:hAnsiTheme="minorHAnsi" w:cstheme="minorHAnsi"/>
          <w:sz w:val="18"/>
          <w:szCs w:val="18"/>
        </w:rPr>
        <w:t>eg</w:t>
      </w:r>
      <w:proofErr w:type="spellEnd"/>
      <w:proofErr w:type="gramEnd"/>
      <w:r w:rsidR="001E2538" w:rsidRPr="001E2538">
        <w:rPr>
          <w:rFonts w:asciiTheme="minorHAnsi" w:hAnsiTheme="minorHAnsi" w:cstheme="minorHAnsi"/>
          <w:sz w:val="18"/>
          <w:szCs w:val="18"/>
        </w:rPr>
        <w:t xml:space="preserve"> </w:t>
      </w:r>
      <w:r w:rsidRPr="001E2538">
        <w:rPr>
          <w:rFonts w:asciiTheme="minorHAnsi" w:hAnsiTheme="minorHAnsi" w:cstheme="minorHAnsi"/>
          <w:sz w:val="18"/>
          <w:szCs w:val="18"/>
        </w:rPr>
        <w:t>Laura Snapes</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‘Gender inequality and outdated voting metrics: are the Brit awards still hitting the wrong notes?’ </w:t>
      </w:r>
      <w:r w:rsidRPr="001E2538">
        <w:rPr>
          <w:rFonts w:asciiTheme="minorHAnsi" w:hAnsiTheme="minorHAnsi" w:cstheme="minorHAnsi"/>
          <w:i/>
          <w:iCs/>
          <w:sz w:val="18"/>
          <w:szCs w:val="18"/>
        </w:rPr>
        <w:t>The Guardian</w:t>
      </w:r>
      <w:r w:rsidRPr="001E2538">
        <w:rPr>
          <w:rFonts w:asciiTheme="minorHAnsi" w:hAnsiTheme="minorHAnsi" w:cstheme="minorHAnsi"/>
          <w:sz w:val="18"/>
          <w:szCs w:val="18"/>
        </w:rPr>
        <w:t xml:space="preserve"> 3 February 2023.</w:t>
      </w:r>
    </w:p>
  </w:footnote>
  <w:footnote w:id="109">
    <w:p w14:paraId="147B8DFE" w14:textId="42E1CEA9" w:rsidR="00B05BD8" w:rsidRPr="001E2538" w:rsidRDefault="00B05BD8"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proofErr w:type="spellStart"/>
      <w:r w:rsidRPr="001E2538">
        <w:rPr>
          <w:rFonts w:asciiTheme="minorHAnsi" w:hAnsiTheme="minorHAnsi" w:cstheme="minorHAnsi"/>
          <w:sz w:val="18"/>
          <w:szCs w:val="18"/>
        </w:rPr>
        <w:t>Malleson</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n </w:t>
      </w:r>
      <w:r w:rsidR="00F143F7" w:rsidRPr="001E2538">
        <w:rPr>
          <w:rFonts w:asciiTheme="minorHAnsi" w:hAnsiTheme="minorHAnsi" w:cstheme="minorHAnsi"/>
          <w:sz w:val="18"/>
          <w:szCs w:val="18"/>
        </w:rPr>
        <w:t>1</w:t>
      </w:r>
      <w:r w:rsidR="00356F07">
        <w:rPr>
          <w:rFonts w:asciiTheme="minorHAnsi" w:hAnsiTheme="minorHAnsi" w:cstheme="minorHAnsi"/>
          <w:sz w:val="18"/>
          <w:szCs w:val="18"/>
        </w:rPr>
        <w:t>9,</w:t>
      </w:r>
      <w:r w:rsidRPr="001E2538">
        <w:rPr>
          <w:rFonts w:asciiTheme="minorHAnsi" w:hAnsiTheme="minorHAnsi" w:cstheme="minorHAnsi"/>
          <w:sz w:val="18"/>
          <w:szCs w:val="18"/>
        </w:rPr>
        <w:t xml:space="preserve"> 272.</w:t>
      </w:r>
    </w:p>
  </w:footnote>
  <w:footnote w:id="110">
    <w:p w14:paraId="13E47C73" w14:textId="3A16BCB4" w:rsidR="001404EF" w:rsidRPr="001E2538" w:rsidRDefault="001404EF">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This is not to suggest that quotas</w:t>
      </w:r>
      <w:r w:rsidR="00356F07">
        <w:rPr>
          <w:rFonts w:asciiTheme="minorHAnsi" w:hAnsiTheme="minorHAnsi" w:cstheme="minorHAnsi"/>
          <w:sz w:val="18"/>
          <w:szCs w:val="18"/>
        </w:rPr>
        <w:t xml:space="preserve"> do – or</w:t>
      </w:r>
      <w:r w:rsidRPr="001E2538">
        <w:rPr>
          <w:rFonts w:asciiTheme="minorHAnsi" w:hAnsiTheme="minorHAnsi" w:cstheme="minorHAnsi"/>
          <w:sz w:val="18"/>
          <w:szCs w:val="18"/>
        </w:rPr>
        <w:t xml:space="preserve"> should </w:t>
      </w:r>
      <w:r w:rsidR="00356F07">
        <w:rPr>
          <w:rFonts w:asciiTheme="minorHAnsi" w:hAnsiTheme="minorHAnsi" w:cstheme="minorHAnsi"/>
          <w:sz w:val="18"/>
          <w:szCs w:val="18"/>
        </w:rPr>
        <w:t xml:space="preserve">– </w:t>
      </w:r>
      <w:r w:rsidRPr="001E2538">
        <w:rPr>
          <w:rFonts w:asciiTheme="minorHAnsi" w:hAnsiTheme="minorHAnsi" w:cstheme="minorHAnsi"/>
          <w:sz w:val="18"/>
          <w:szCs w:val="18"/>
        </w:rPr>
        <w:t xml:space="preserve">work alone. Rather they need to be ‘nestled’ into what Sally Wheeler has described in the context of boardroom quotas as a ‘basket of measures’ addressing parental and care-giving responsibilities, progression, promotion and retention in the so-called ‘pipeline’, as well as effective mentoring and support so that there are sufficient women able and willing to take on the roles (‘Company Law and Corporate Governance’ in Rosemary </w:t>
      </w:r>
      <w:proofErr w:type="spellStart"/>
      <w:r w:rsidRPr="001E2538">
        <w:rPr>
          <w:rFonts w:asciiTheme="minorHAnsi" w:hAnsiTheme="minorHAnsi" w:cstheme="minorHAnsi"/>
          <w:sz w:val="18"/>
          <w:szCs w:val="18"/>
        </w:rPr>
        <w:t>Auchmuty</w:t>
      </w:r>
      <w:proofErr w:type="spellEnd"/>
      <w:r w:rsidRPr="001E2538">
        <w:rPr>
          <w:rFonts w:asciiTheme="minorHAnsi" w:hAnsiTheme="minorHAnsi" w:cstheme="minorHAnsi"/>
          <w:sz w:val="18"/>
          <w:szCs w:val="18"/>
        </w:rPr>
        <w:t xml:space="preserve"> (ed)</w:t>
      </w:r>
      <w:r w:rsidR="00A17E2B">
        <w:rPr>
          <w:rFonts w:asciiTheme="minorHAnsi" w:hAnsiTheme="minorHAnsi" w:cstheme="minorHAnsi"/>
          <w:sz w:val="18"/>
          <w:szCs w:val="18"/>
        </w:rPr>
        <w:t>,</w:t>
      </w:r>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 xml:space="preserve">Great Debates in Gender Law </w:t>
      </w:r>
      <w:r w:rsidRPr="001E2538">
        <w:rPr>
          <w:rFonts w:asciiTheme="minorHAnsi" w:hAnsiTheme="minorHAnsi" w:cstheme="minorHAnsi"/>
          <w:sz w:val="18"/>
          <w:szCs w:val="18"/>
        </w:rPr>
        <w:t>(Palgrave 2018) 133, 147.</w:t>
      </w:r>
    </w:p>
  </w:footnote>
  <w:footnote w:id="111">
    <w:p w14:paraId="0C6AC30C" w14:textId="0D57EA7E" w:rsidR="00D678DD" w:rsidRPr="001E2538" w:rsidRDefault="00D678D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The description of the requirement contained in s 27(8) of the Constitutional Reform Act 2005 that ‘In making selections for the appointment of judges’ to the UK Supreme Court the selection committee ‘must ensure that between them the judges will have knowledge of, and experience of practice in, the law of each part of the United Kingdom’ has been widely described as de facto ‘geographical quota’ – see </w:t>
      </w:r>
      <w:proofErr w:type="spellStart"/>
      <w:r w:rsidRPr="001E2538">
        <w:rPr>
          <w:rFonts w:asciiTheme="minorHAnsi" w:hAnsiTheme="minorHAnsi" w:cstheme="minorHAnsi"/>
          <w:sz w:val="18"/>
          <w:szCs w:val="18"/>
        </w:rPr>
        <w:t>eg</w:t>
      </w:r>
      <w:proofErr w:type="spellEnd"/>
      <w:r w:rsidRPr="001E2538">
        <w:rPr>
          <w:rFonts w:asciiTheme="minorHAnsi" w:hAnsiTheme="minorHAnsi" w:cstheme="minorHAnsi"/>
          <w:sz w:val="18"/>
          <w:szCs w:val="18"/>
        </w:rPr>
        <w:t xml:space="preserve"> Lady Hale</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‘Appointments to the Supreme Court’ in </w:t>
      </w:r>
      <w:r w:rsidR="00F143F7" w:rsidRPr="001E2538">
        <w:rPr>
          <w:rFonts w:asciiTheme="minorHAnsi" w:hAnsiTheme="minorHAnsi" w:cstheme="minorHAnsi"/>
          <w:sz w:val="18"/>
          <w:szCs w:val="18"/>
        </w:rPr>
        <w:t>Graham Gee and Erika Rackley (eds)</w:t>
      </w:r>
      <w:r w:rsidR="00DF4C18" w:rsidRPr="001E2538">
        <w:rPr>
          <w:rFonts w:asciiTheme="minorHAnsi" w:hAnsiTheme="minorHAnsi" w:cstheme="minorHAnsi"/>
          <w:sz w:val="18"/>
          <w:szCs w:val="18"/>
        </w:rPr>
        <w:t>,</w:t>
      </w:r>
      <w:r w:rsidR="00F143F7" w:rsidRPr="001E2538">
        <w:rPr>
          <w:rFonts w:asciiTheme="minorHAnsi" w:hAnsiTheme="minorHAnsi" w:cstheme="minorHAnsi"/>
          <w:i/>
          <w:iCs/>
          <w:sz w:val="18"/>
          <w:szCs w:val="18"/>
        </w:rPr>
        <w:t xml:space="preserve"> Debating Judicial Appointments in an Age of Diversity</w:t>
      </w:r>
      <w:r w:rsidR="00F143F7" w:rsidRPr="001E2538">
        <w:rPr>
          <w:rFonts w:asciiTheme="minorHAnsi" w:hAnsiTheme="minorHAnsi" w:cstheme="minorHAnsi"/>
          <w:sz w:val="18"/>
          <w:szCs w:val="18"/>
        </w:rPr>
        <w:t xml:space="preserve"> (Routledge 2018), </w:t>
      </w:r>
      <w:r w:rsidRPr="001E2538">
        <w:rPr>
          <w:rFonts w:asciiTheme="minorHAnsi" w:hAnsiTheme="minorHAnsi" w:cstheme="minorHAnsi"/>
          <w:sz w:val="18"/>
          <w:szCs w:val="18"/>
        </w:rPr>
        <w:t>305; Bindman and Monaghan</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n </w:t>
      </w:r>
      <w:r w:rsidR="00356F07">
        <w:rPr>
          <w:rFonts w:asciiTheme="minorHAnsi" w:hAnsiTheme="minorHAnsi" w:cstheme="minorHAnsi"/>
          <w:sz w:val="18"/>
          <w:szCs w:val="18"/>
        </w:rPr>
        <w:t>52</w:t>
      </w:r>
      <w:r w:rsidR="00F143F7" w:rsidRPr="001E2538">
        <w:rPr>
          <w:rFonts w:asciiTheme="minorHAnsi" w:hAnsiTheme="minorHAnsi" w:cstheme="minorHAnsi"/>
          <w:sz w:val="18"/>
          <w:szCs w:val="18"/>
        </w:rPr>
        <w:t>,</w:t>
      </w:r>
      <w:r w:rsidRPr="001E2538">
        <w:rPr>
          <w:rFonts w:asciiTheme="minorHAnsi" w:hAnsiTheme="minorHAnsi" w:cstheme="minorHAnsi"/>
          <w:sz w:val="18"/>
          <w:szCs w:val="18"/>
        </w:rPr>
        <w:t xml:space="preserve"> [8.6]</w:t>
      </w:r>
      <w:r w:rsidR="00B05BD8" w:rsidRPr="001E2538">
        <w:rPr>
          <w:rFonts w:asciiTheme="minorHAnsi" w:hAnsiTheme="minorHAnsi" w:cstheme="minorHAnsi"/>
          <w:sz w:val="18"/>
          <w:szCs w:val="18"/>
        </w:rPr>
        <w:t xml:space="preserve">; </w:t>
      </w:r>
      <w:proofErr w:type="spellStart"/>
      <w:r w:rsidRPr="001E2538">
        <w:rPr>
          <w:rFonts w:asciiTheme="minorHAnsi" w:hAnsiTheme="minorHAnsi" w:cstheme="minorHAnsi"/>
          <w:sz w:val="18"/>
          <w:szCs w:val="18"/>
        </w:rPr>
        <w:t>Malleson</w:t>
      </w:r>
      <w:proofErr w:type="spellEnd"/>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n </w:t>
      </w:r>
      <w:r w:rsidR="00F143F7" w:rsidRPr="001E2538">
        <w:rPr>
          <w:rFonts w:asciiTheme="minorHAnsi" w:hAnsiTheme="minorHAnsi" w:cstheme="minorHAnsi"/>
          <w:sz w:val="18"/>
          <w:szCs w:val="18"/>
        </w:rPr>
        <w:t>1</w:t>
      </w:r>
      <w:r w:rsidR="00356F07">
        <w:rPr>
          <w:rFonts w:asciiTheme="minorHAnsi" w:hAnsiTheme="minorHAnsi" w:cstheme="minorHAnsi"/>
          <w:sz w:val="18"/>
          <w:szCs w:val="18"/>
        </w:rPr>
        <w:t>9</w:t>
      </w:r>
      <w:r w:rsidR="00F143F7" w:rsidRPr="001E2538">
        <w:rPr>
          <w:rFonts w:asciiTheme="minorHAnsi" w:hAnsiTheme="minorHAnsi" w:cstheme="minorHAnsi"/>
          <w:sz w:val="18"/>
          <w:szCs w:val="18"/>
        </w:rPr>
        <w:t>,</w:t>
      </w:r>
      <w:r w:rsidR="00684D4C" w:rsidRPr="001E2538">
        <w:rPr>
          <w:rFonts w:asciiTheme="minorHAnsi" w:hAnsiTheme="minorHAnsi" w:cstheme="minorHAnsi"/>
          <w:sz w:val="18"/>
          <w:szCs w:val="18"/>
        </w:rPr>
        <w:t xml:space="preserve"> </w:t>
      </w:r>
      <w:r w:rsidRPr="001E2538">
        <w:rPr>
          <w:rFonts w:asciiTheme="minorHAnsi" w:hAnsiTheme="minorHAnsi" w:cstheme="minorHAnsi"/>
          <w:sz w:val="18"/>
          <w:szCs w:val="18"/>
        </w:rPr>
        <w:t xml:space="preserve">268. </w:t>
      </w:r>
    </w:p>
  </w:footnote>
  <w:footnote w:id="112">
    <w:p w14:paraId="6D0E71C2" w14:textId="5F814DA8" w:rsidR="00C16F4E" w:rsidRPr="001E2538" w:rsidRDefault="00C16F4E"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Indeed, Sir Robert Horne </w:t>
      </w:r>
      <w:r w:rsidR="00B05BD8" w:rsidRPr="001E2538">
        <w:rPr>
          <w:rFonts w:asciiTheme="minorHAnsi" w:hAnsiTheme="minorHAnsi" w:cstheme="minorHAnsi"/>
          <w:sz w:val="18"/>
          <w:szCs w:val="18"/>
        </w:rPr>
        <w:t>telegrammed</w:t>
      </w:r>
      <w:r w:rsidRPr="001E2538">
        <w:rPr>
          <w:rFonts w:asciiTheme="minorHAnsi" w:hAnsiTheme="minorHAnsi" w:cstheme="minorHAnsi"/>
          <w:sz w:val="18"/>
          <w:szCs w:val="18"/>
        </w:rPr>
        <w:t xml:space="preserve"> Violet Markham </w:t>
      </w:r>
      <w:r w:rsidR="00B05BD8" w:rsidRPr="001E2538">
        <w:rPr>
          <w:rFonts w:asciiTheme="minorHAnsi" w:hAnsiTheme="minorHAnsi" w:cstheme="minorHAnsi"/>
          <w:sz w:val="18"/>
          <w:szCs w:val="18"/>
        </w:rPr>
        <w:t xml:space="preserve">in Germany </w:t>
      </w:r>
      <w:r w:rsidRPr="001E2538">
        <w:rPr>
          <w:rFonts w:asciiTheme="minorHAnsi" w:hAnsiTheme="minorHAnsi" w:cstheme="minorHAnsi"/>
          <w:sz w:val="18"/>
          <w:szCs w:val="18"/>
        </w:rPr>
        <w:t>seeking to nominate her to the court on the day after the Act was passed (Women’s Library archives, MARKHAM 26/41).</w:t>
      </w:r>
    </w:p>
  </w:footnote>
  <w:footnote w:id="113">
    <w:p w14:paraId="6A7523FB" w14:textId="00CBA291" w:rsidR="00140CDD" w:rsidRPr="001E2538" w:rsidRDefault="00140CD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684D4C" w:rsidRPr="001E2538">
        <w:rPr>
          <w:rFonts w:asciiTheme="minorHAnsi" w:hAnsiTheme="minorHAnsi" w:cstheme="minorHAnsi"/>
          <w:sz w:val="18"/>
          <w:szCs w:val="18"/>
        </w:rPr>
        <w:tab/>
      </w:r>
      <w:r w:rsidRPr="001E2538">
        <w:rPr>
          <w:rFonts w:asciiTheme="minorHAnsi" w:hAnsiTheme="minorHAnsi" w:cstheme="minorHAnsi"/>
          <w:sz w:val="18"/>
          <w:szCs w:val="18"/>
        </w:rPr>
        <w:t xml:space="preserve">Lord </w:t>
      </w:r>
      <w:proofErr w:type="spellStart"/>
      <w:r w:rsidRPr="001E2538">
        <w:rPr>
          <w:rFonts w:asciiTheme="minorHAnsi" w:hAnsiTheme="minorHAnsi" w:cstheme="minorHAnsi"/>
          <w:sz w:val="18"/>
          <w:szCs w:val="18"/>
        </w:rPr>
        <w:t>Amulree</w:t>
      </w:r>
      <w:proofErr w:type="spellEnd"/>
      <w:r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Industrial Arbitration in Great Britain</w:t>
      </w:r>
      <w:r w:rsidRPr="001E2538">
        <w:rPr>
          <w:rFonts w:asciiTheme="minorHAnsi" w:hAnsiTheme="minorHAnsi" w:cstheme="minorHAnsi"/>
          <w:sz w:val="18"/>
          <w:szCs w:val="18"/>
        </w:rPr>
        <w:t xml:space="preserve"> (OUP 1929) 174.</w:t>
      </w:r>
      <w:r w:rsidR="00EF7D9F" w:rsidRPr="001E2538">
        <w:rPr>
          <w:rFonts w:asciiTheme="minorHAnsi" w:hAnsiTheme="minorHAnsi" w:cstheme="minorHAnsi"/>
          <w:sz w:val="18"/>
          <w:szCs w:val="18"/>
        </w:rPr>
        <w:t xml:space="preserve"> Mackenzie</w:t>
      </w:r>
      <w:r w:rsidR="00B05BD8" w:rsidRPr="001E2538">
        <w:rPr>
          <w:rFonts w:asciiTheme="minorHAnsi" w:hAnsiTheme="minorHAnsi" w:cstheme="minorHAnsi"/>
          <w:sz w:val="18"/>
          <w:szCs w:val="18"/>
        </w:rPr>
        <w:t xml:space="preserve"> resigned as President of the Industrial Court in 1926</w:t>
      </w:r>
      <w:r w:rsidR="00E723E9" w:rsidRPr="001E2538">
        <w:rPr>
          <w:rFonts w:asciiTheme="minorHAnsi" w:hAnsiTheme="minorHAnsi" w:cstheme="minorHAnsi"/>
          <w:sz w:val="18"/>
          <w:szCs w:val="18"/>
        </w:rPr>
        <w:t xml:space="preserve">. He </w:t>
      </w:r>
      <w:r w:rsidR="00EF7D9F" w:rsidRPr="001E2538">
        <w:rPr>
          <w:rFonts w:asciiTheme="minorHAnsi" w:hAnsiTheme="minorHAnsi" w:cstheme="minorHAnsi"/>
          <w:sz w:val="18"/>
          <w:szCs w:val="18"/>
        </w:rPr>
        <w:t>received his peerage</w:t>
      </w:r>
      <w:r w:rsidR="00E723E9" w:rsidRPr="001E2538">
        <w:rPr>
          <w:rFonts w:asciiTheme="minorHAnsi" w:hAnsiTheme="minorHAnsi" w:cstheme="minorHAnsi"/>
          <w:sz w:val="18"/>
          <w:szCs w:val="18"/>
        </w:rPr>
        <w:t xml:space="preserve">, becoming Lord </w:t>
      </w:r>
      <w:proofErr w:type="spellStart"/>
      <w:r w:rsidR="00E723E9" w:rsidRPr="001E2538">
        <w:rPr>
          <w:rFonts w:asciiTheme="minorHAnsi" w:hAnsiTheme="minorHAnsi" w:cstheme="minorHAnsi"/>
          <w:sz w:val="18"/>
          <w:szCs w:val="18"/>
        </w:rPr>
        <w:t>Amulree</w:t>
      </w:r>
      <w:proofErr w:type="spellEnd"/>
      <w:r w:rsidR="00356F07">
        <w:rPr>
          <w:rFonts w:asciiTheme="minorHAnsi" w:hAnsiTheme="minorHAnsi" w:cstheme="minorHAnsi"/>
          <w:sz w:val="18"/>
          <w:szCs w:val="18"/>
        </w:rPr>
        <w:t>,</w:t>
      </w:r>
      <w:r w:rsidR="00EF7D9F" w:rsidRPr="001E2538">
        <w:rPr>
          <w:rFonts w:asciiTheme="minorHAnsi" w:hAnsiTheme="minorHAnsi" w:cstheme="minorHAnsi"/>
          <w:sz w:val="18"/>
          <w:szCs w:val="18"/>
        </w:rPr>
        <w:t xml:space="preserve"> in 1929. </w:t>
      </w:r>
    </w:p>
  </w:footnote>
  <w:footnote w:id="114">
    <w:p w14:paraId="7369238A" w14:textId="19B47E9F" w:rsidR="00DA4C68" w:rsidRPr="001E2538" w:rsidRDefault="00DA4C68" w:rsidP="00E723E9">
      <w:pPr>
        <w:adjustRightInd w:val="0"/>
        <w:snapToGrid w:val="0"/>
        <w:rPr>
          <w:rFonts w:cstheme="minorHAnsi"/>
          <w:sz w:val="18"/>
          <w:szCs w:val="18"/>
        </w:rPr>
      </w:pPr>
      <w:r w:rsidRPr="001E2538">
        <w:rPr>
          <w:rStyle w:val="FootnoteReference"/>
          <w:rFonts w:cstheme="minorHAnsi"/>
          <w:sz w:val="18"/>
          <w:szCs w:val="18"/>
        </w:rPr>
        <w:footnoteRef/>
      </w:r>
      <w:r w:rsidRPr="001E2538">
        <w:rPr>
          <w:rFonts w:cstheme="minorHAnsi"/>
          <w:sz w:val="18"/>
          <w:szCs w:val="18"/>
        </w:rPr>
        <w:t xml:space="preserve"> </w:t>
      </w:r>
      <w:r w:rsidRPr="001E2538">
        <w:rPr>
          <w:rFonts w:cstheme="minorHAnsi"/>
          <w:sz w:val="18"/>
          <w:szCs w:val="18"/>
        </w:rPr>
        <w:tab/>
      </w:r>
      <w:r w:rsidR="004B3A3E" w:rsidRPr="001E2538">
        <w:rPr>
          <w:rFonts w:cstheme="minorHAnsi"/>
          <w:sz w:val="18"/>
          <w:szCs w:val="18"/>
        </w:rPr>
        <w:t xml:space="preserve">The first Women’s Liberation Movement Conference had been held in Oxford where the first of four demands had been discussed: equal pay, equal educational and job opportunities, free </w:t>
      </w:r>
      <w:proofErr w:type="gramStart"/>
      <w:r w:rsidR="004B3A3E" w:rsidRPr="001E2538">
        <w:rPr>
          <w:rFonts w:cstheme="minorHAnsi"/>
          <w:sz w:val="18"/>
          <w:szCs w:val="18"/>
        </w:rPr>
        <w:t>contraception</w:t>
      </w:r>
      <w:proofErr w:type="gramEnd"/>
      <w:r w:rsidR="004B3A3E" w:rsidRPr="001E2538">
        <w:rPr>
          <w:rFonts w:cstheme="minorHAnsi"/>
          <w:sz w:val="18"/>
          <w:szCs w:val="18"/>
        </w:rPr>
        <w:t xml:space="preserve"> and abortion on demand and free 24-hour nurseries. These were passed at the Skegness Conference the following year. </w:t>
      </w:r>
      <w:r w:rsidRPr="001E2538">
        <w:rPr>
          <w:rFonts w:cstheme="minorHAnsi"/>
          <w:sz w:val="18"/>
          <w:szCs w:val="18"/>
        </w:rPr>
        <w:t xml:space="preserve">See generally ‘Women’s liberation: a national movement’ </w:t>
      </w:r>
      <w:r w:rsidRPr="001E2538">
        <w:rPr>
          <w:rFonts w:cstheme="minorHAnsi"/>
          <w:i/>
          <w:iCs/>
          <w:sz w:val="18"/>
          <w:szCs w:val="18"/>
        </w:rPr>
        <w:t xml:space="preserve">British Library </w:t>
      </w:r>
      <w:r w:rsidRPr="001E2538">
        <w:rPr>
          <w:rFonts w:cstheme="minorHAnsi"/>
          <w:sz w:val="18"/>
          <w:szCs w:val="18"/>
        </w:rPr>
        <w:t xml:space="preserve">8 March 2013 available at </w:t>
      </w:r>
      <w:hyperlink r:id="rId3" w:history="1">
        <w:r w:rsidRPr="001E2538">
          <w:rPr>
            <w:rStyle w:val="Hyperlink"/>
            <w:rFonts w:cstheme="minorHAnsi"/>
            <w:color w:val="auto"/>
            <w:sz w:val="18"/>
            <w:szCs w:val="18"/>
          </w:rPr>
          <w:t>https://www.bl.uk/sisterhood/articles/womens-liberation-a-national-movement</w:t>
        </w:r>
      </w:hyperlink>
      <w:r w:rsidRPr="001E2538">
        <w:rPr>
          <w:rFonts w:cstheme="minorHAnsi"/>
          <w:sz w:val="18"/>
          <w:szCs w:val="18"/>
        </w:rPr>
        <w:t xml:space="preserve">. </w:t>
      </w:r>
    </w:p>
  </w:footnote>
  <w:footnote w:id="115">
    <w:p w14:paraId="08188BF2" w14:textId="201182F6" w:rsidR="00664936" w:rsidRPr="001E2538" w:rsidRDefault="0066493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356F07">
        <w:rPr>
          <w:rFonts w:asciiTheme="minorHAnsi" w:hAnsiTheme="minorHAnsi" w:cstheme="minorHAnsi"/>
          <w:sz w:val="18"/>
          <w:szCs w:val="18"/>
        </w:rPr>
        <w:t xml:space="preserve">Hansard, </w:t>
      </w:r>
      <w:r w:rsidR="00B05BD8" w:rsidRPr="001E2538">
        <w:rPr>
          <w:rFonts w:asciiTheme="minorHAnsi" w:hAnsiTheme="minorHAnsi" w:cstheme="minorHAnsi"/>
          <w:sz w:val="18"/>
          <w:szCs w:val="18"/>
        </w:rPr>
        <w:t>‘</w:t>
      </w:r>
      <w:r w:rsidRPr="001E2538">
        <w:rPr>
          <w:rFonts w:asciiTheme="minorHAnsi" w:hAnsiTheme="minorHAnsi" w:cstheme="minorHAnsi"/>
          <w:sz w:val="18"/>
          <w:szCs w:val="18"/>
        </w:rPr>
        <w:t>Industrial Relations Bill</w:t>
      </w:r>
      <w:r w:rsidR="00B05BD8" w:rsidRPr="001E2538">
        <w:rPr>
          <w:rFonts w:asciiTheme="minorHAnsi" w:hAnsiTheme="minorHAnsi" w:cstheme="minorHAnsi"/>
          <w:sz w:val="18"/>
          <w:szCs w:val="18"/>
        </w:rPr>
        <w:t>’</w:t>
      </w:r>
      <w:r w:rsidRPr="001E2538">
        <w:rPr>
          <w:rFonts w:asciiTheme="minorHAnsi" w:hAnsiTheme="minorHAnsi" w:cstheme="minorHAnsi"/>
          <w:sz w:val="18"/>
          <w:szCs w:val="18"/>
        </w:rPr>
        <w:t xml:space="preserve"> HL Deb</w:t>
      </w:r>
      <w:r w:rsidR="00B05BD8" w:rsidRPr="001E2538">
        <w:rPr>
          <w:rFonts w:asciiTheme="minorHAnsi" w:hAnsiTheme="minorHAnsi" w:cstheme="minorHAnsi"/>
          <w:sz w:val="18"/>
          <w:szCs w:val="18"/>
        </w:rPr>
        <w:t>,</w:t>
      </w:r>
      <w:r w:rsidRPr="001E2538">
        <w:rPr>
          <w:rFonts w:asciiTheme="minorHAnsi" w:hAnsiTheme="minorHAnsi" w:cstheme="minorHAnsi"/>
          <w:sz w:val="18"/>
          <w:szCs w:val="18"/>
        </w:rPr>
        <w:t xml:space="preserve"> vol 319 col 1299-1302</w:t>
      </w:r>
      <w:r w:rsidR="00A17E2B">
        <w:rPr>
          <w:rFonts w:asciiTheme="minorHAnsi" w:hAnsiTheme="minorHAnsi" w:cstheme="minorHAnsi"/>
          <w:sz w:val="18"/>
          <w:szCs w:val="18"/>
        </w:rPr>
        <w:t xml:space="preserve"> (</w:t>
      </w:r>
      <w:r w:rsidR="00A17E2B" w:rsidRPr="001E2538">
        <w:rPr>
          <w:rFonts w:asciiTheme="minorHAnsi" w:hAnsiTheme="minorHAnsi" w:cstheme="minorHAnsi"/>
          <w:sz w:val="18"/>
          <w:szCs w:val="18"/>
        </w:rPr>
        <w:t>27 May 1971</w:t>
      </w:r>
      <w:r w:rsidR="00A17E2B">
        <w:rPr>
          <w:rFonts w:asciiTheme="minorHAnsi" w:hAnsiTheme="minorHAnsi" w:cstheme="minorHAnsi"/>
          <w:sz w:val="18"/>
          <w:szCs w:val="18"/>
        </w:rPr>
        <w:t>)</w:t>
      </w:r>
      <w:r w:rsidRPr="001E2538">
        <w:rPr>
          <w:rFonts w:asciiTheme="minorHAnsi" w:hAnsiTheme="minorHAnsi" w:cstheme="minorHAnsi"/>
          <w:sz w:val="18"/>
          <w:szCs w:val="18"/>
        </w:rPr>
        <w:t>.</w:t>
      </w:r>
    </w:p>
  </w:footnote>
  <w:footnote w:id="116">
    <w:p w14:paraId="6847FA3E" w14:textId="3687DD29" w:rsidR="00F17E52" w:rsidRPr="001E2538" w:rsidRDefault="00F17E52"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ibid col 1301.</w:t>
      </w:r>
    </w:p>
  </w:footnote>
  <w:footnote w:id="117">
    <w:p w14:paraId="0A0E6BAA" w14:textId="1499E157" w:rsidR="00F361AC" w:rsidRPr="001E2538" w:rsidRDefault="00F361AC"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ibid col 1302</w:t>
      </w:r>
    </w:p>
  </w:footnote>
  <w:footnote w:id="118">
    <w:p w14:paraId="4D79D270" w14:textId="3A1608F9" w:rsidR="00664936" w:rsidRPr="001E2538" w:rsidRDefault="0066493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ibid col 1307-108.</w:t>
      </w:r>
      <w:r w:rsidR="001B05EE" w:rsidRPr="001E2538">
        <w:rPr>
          <w:rFonts w:asciiTheme="minorHAnsi" w:hAnsiTheme="minorHAnsi" w:cstheme="minorHAnsi"/>
          <w:sz w:val="18"/>
          <w:szCs w:val="18"/>
        </w:rPr>
        <w:t xml:space="preserve"> The </w:t>
      </w:r>
      <w:r w:rsidR="00090429" w:rsidRPr="001E2538">
        <w:rPr>
          <w:rFonts w:asciiTheme="minorHAnsi" w:hAnsiTheme="minorHAnsi" w:cstheme="minorHAnsi"/>
          <w:sz w:val="18"/>
          <w:szCs w:val="18"/>
        </w:rPr>
        <w:t xml:space="preserve">same </w:t>
      </w:r>
      <w:r w:rsidR="001B05EE" w:rsidRPr="001E2538">
        <w:rPr>
          <w:rFonts w:asciiTheme="minorHAnsi" w:hAnsiTheme="minorHAnsi" w:cstheme="minorHAnsi"/>
          <w:sz w:val="18"/>
          <w:szCs w:val="18"/>
        </w:rPr>
        <w:t>word</w:t>
      </w:r>
      <w:r w:rsidR="00090429" w:rsidRPr="001E2538">
        <w:rPr>
          <w:rFonts w:asciiTheme="minorHAnsi" w:hAnsiTheme="minorHAnsi" w:cstheme="minorHAnsi"/>
          <w:sz w:val="18"/>
          <w:szCs w:val="18"/>
        </w:rPr>
        <w:t xml:space="preserve"> was</w:t>
      </w:r>
      <w:r w:rsidR="001B05EE" w:rsidRPr="001E2538">
        <w:rPr>
          <w:rFonts w:asciiTheme="minorHAnsi" w:hAnsiTheme="minorHAnsi" w:cstheme="minorHAnsi"/>
          <w:sz w:val="18"/>
          <w:szCs w:val="18"/>
        </w:rPr>
        <w:t xml:space="preserve"> used by </w:t>
      </w:r>
      <w:r w:rsidR="00090429" w:rsidRPr="001E2538">
        <w:rPr>
          <w:rFonts w:asciiTheme="minorHAnsi" w:hAnsiTheme="minorHAnsi" w:cstheme="minorHAnsi"/>
          <w:sz w:val="18"/>
          <w:szCs w:val="18"/>
        </w:rPr>
        <w:t>the then Chief Justice, Lord Judge</w:t>
      </w:r>
      <w:r w:rsidR="001B05EE" w:rsidRPr="001E2538">
        <w:rPr>
          <w:rFonts w:asciiTheme="minorHAnsi" w:hAnsiTheme="minorHAnsi" w:cstheme="minorHAnsi"/>
          <w:sz w:val="18"/>
          <w:szCs w:val="18"/>
        </w:rPr>
        <w:t xml:space="preserve"> in</w:t>
      </w:r>
      <w:r w:rsidR="00090429" w:rsidRPr="001E2538">
        <w:rPr>
          <w:rFonts w:asciiTheme="minorHAnsi" w:hAnsiTheme="minorHAnsi" w:cstheme="minorHAnsi"/>
          <w:sz w:val="18"/>
          <w:szCs w:val="18"/>
        </w:rPr>
        <w:t xml:space="preserve"> 2012 when speaking to the House of Lords Select Committee on the Constitution inquiry on judicial appointments (Q188)</w:t>
      </w:r>
      <w:r w:rsidR="00445C69" w:rsidRPr="001E2538">
        <w:rPr>
          <w:rFonts w:asciiTheme="minorHAnsi" w:hAnsiTheme="minorHAnsi" w:cstheme="minorHAnsi"/>
          <w:sz w:val="18"/>
          <w:szCs w:val="18"/>
        </w:rPr>
        <w:t>.</w:t>
      </w:r>
    </w:p>
  </w:footnote>
  <w:footnote w:id="119">
    <w:p w14:paraId="1F85D63D" w14:textId="196D863B" w:rsidR="00664936" w:rsidRPr="001E2538" w:rsidRDefault="0066493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ibid col 1309.</w:t>
      </w:r>
    </w:p>
  </w:footnote>
  <w:footnote w:id="120">
    <w:p w14:paraId="29384EF2" w14:textId="439C59FB" w:rsidR="00527421" w:rsidRPr="001E2538" w:rsidRDefault="00527421"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ibid col 1307.</w:t>
      </w:r>
    </w:p>
  </w:footnote>
  <w:footnote w:id="121">
    <w:p w14:paraId="212E83DA" w14:textId="77777777" w:rsidR="004057DE" w:rsidRPr="001E2538" w:rsidRDefault="004057DE"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ibid col 1309.</w:t>
      </w:r>
    </w:p>
  </w:footnote>
  <w:footnote w:id="122">
    <w:p w14:paraId="13A5DD15" w14:textId="73D47783" w:rsidR="00F361AC" w:rsidRPr="001E2538" w:rsidRDefault="00F361AC"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090429" w:rsidRPr="001E2538">
        <w:rPr>
          <w:rFonts w:asciiTheme="minorHAnsi" w:hAnsiTheme="minorHAnsi" w:cstheme="minorHAnsi"/>
          <w:sz w:val="18"/>
          <w:szCs w:val="18"/>
        </w:rPr>
        <w:t>i</w:t>
      </w:r>
      <w:r w:rsidRPr="001E2538">
        <w:rPr>
          <w:rFonts w:asciiTheme="minorHAnsi" w:hAnsiTheme="minorHAnsi" w:cstheme="minorHAnsi"/>
          <w:sz w:val="18"/>
          <w:szCs w:val="18"/>
        </w:rPr>
        <w:t>bid col 1304</w:t>
      </w:r>
      <w:r w:rsidR="00090429" w:rsidRPr="001E2538">
        <w:rPr>
          <w:rFonts w:asciiTheme="minorHAnsi" w:hAnsiTheme="minorHAnsi" w:cstheme="minorHAnsi"/>
          <w:sz w:val="18"/>
          <w:szCs w:val="18"/>
        </w:rPr>
        <w:t>.</w:t>
      </w:r>
      <w:r w:rsidR="002B5DC4" w:rsidRPr="001E2538">
        <w:rPr>
          <w:rFonts w:asciiTheme="minorHAnsi" w:hAnsiTheme="minorHAnsi" w:cstheme="minorHAnsi"/>
          <w:sz w:val="18"/>
          <w:szCs w:val="18"/>
        </w:rPr>
        <w:t xml:space="preserve">  </w:t>
      </w:r>
      <w:r w:rsidR="00244361" w:rsidRPr="001E2538">
        <w:rPr>
          <w:rFonts w:asciiTheme="minorHAnsi" w:hAnsiTheme="minorHAnsi" w:cstheme="minorHAnsi"/>
          <w:sz w:val="18"/>
          <w:szCs w:val="18"/>
        </w:rPr>
        <w:t>The difficulty</w:t>
      </w:r>
      <w:r w:rsidR="002B5DC4" w:rsidRPr="001E2538">
        <w:rPr>
          <w:rFonts w:asciiTheme="minorHAnsi" w:hAnsiTheme="minorHAnsi" w:cstheme="minorHAnsi"/>
          <w:sz w:val="18"/>
          <w:szCs w:val="18"/>
        </w:rPr>
        <w:t xml:space="preserve"> </w:t>
      </w:r>
      <w:r w:rsidR="00AF7F71" w:rsidRPr="001E2538">
        <w:rPr>
          <w:rFonts w:asciiTheme="minorHAnsi" w:hAnsiTheme="minorHAnsi" w:cstheme="minorHAnsi"/>
          <w:sz w:val="18"/>
          <w:szCs w:val="18"/>
        </w:rPr>
        <w:t xml:space="preserve">for Lord Hailsham </w:t>
      </w:r>
      <w:r w:rsidR="002B5DC4" w:rsidRPr="001E2538">
        <w:rPr>
          <w:rFonts w:asciiTheme="minorHAnsi" w:hAnsiTheme="minorHAnsi" w:cstheme="minorHAnsi"/>
          <w:sz w:val="18"/>
          <w:szCs w:val="18"/>
        </w:rPr>
        <w:t xml:space="preserve">was that they </w:t>
      </w:r>
      <w:r w:rsidR="00244361" w:rsidRPr="001E2538">
        <w:rPr>
          <w:rFonts w:asciiTheme="minorHAnsi" w:hAnsiTheme="minorHAnsi" w:cstheme="minorHAnsi"/>
          <w:sz w:val="18"/>
          <w:szCs w:val="18"/>
        </w:rPr>
        <w:t>did.</w:t>
      </w:r>
      <w:r w:rsidR="00BE19C5" w:rsidRPr="001E2538">
        <w:rPr>
          <w:rFonts w:asciiTheme="minorHAnsi" w:hAnsiTheme="minorHAnsi" w:cstheme="minorHAnsi"/>
          <w:sz w:val="18"/>
          <w:szCs w:val="18"/>
        </w:rPr>
        <w:t xml:space="preserve"> By the early 1970s, women had made little impact on the professions</w:t>
      </w:r>
      <w:r w:rsidR="00AF7F71" w:rsidRPr="001E2538">
        <w:rPr>
          <w:rFonts w:asciiTheme="minorHAnsi" w:hAnsiTheme="minorHAnsi" w:cstheme="minorHAnsi"/>
          <w:sz w:val="18"/>
          <w:szCs w:val="18"/>
        </w:rPr>
        <w:t xml:space="preserve"> </w:t>
      </w:r>
      <w:r w:rsidR="00244361" w:rsidRPr="001E2538">
        <w:rPr>
          <w:rFonts w:asciiTheme="minorHAnsi" w:hAnsiTheme="minorHAnsi" w:cstheme="minorHAnsi"/>
          <w:sz w:val="18"/>
          <w:szCs w:val="18"/>
        </w:rPr>
        <w:t>(</w:t>
      </w:r>
      <w:r w:rsidR="00BE19C5" w:rsidRPr="001E2538">
        <w:rPr>
          <w:rFonts w:asciiTheme="minorHAnsi" w:hAnsiTheme="minorHAnsi" w:cstheme="minorHAnsi"/>
          <w:sz w:val="18"/>
          <w:szCs w:val="18"/>
        </w:rPr>
        <w:t>Home Office</w:t>
      </w:r>
      <w:r w:rsidR="004F7A5E" w:rsidRPr="001E2538">
        <w:rPr>
          <w:rFonts w:asciiTheme="minorHAnsi" w:hAnsiTheme="minorHAnsi" w:cstheme="minorHAnsi"/>
          <w:sz w:val="18"/>
          <w:szCs w:val="18"/>
        </w:rPr>
        <w:t xml:space="preserve">, </w:t>
      </w:r>
      <w:r w:rsidR="00BE19C5" w:rsidRPr="001E2538">
        <w:rPr>
          <w:rFonts w:asciiTheme="minorHAnsi" w:hAnsiTheme="minorHAnsi" w:cstheme="minorHAnsi"/>
          <w:i/>
          <w:iCs/>
          <w:sz w:val="18"/>
          <w:szCs w:val="18"/>
        </w:rPr>
        <w:t>Equality for Women</w:t>
      </w:r>
      <w:r w:rsidR="00BE19C5" w:rsidRPr="001E2538">
        <w:rPr>
          <w:rFonts w:asciiTheme="minorHAnsi" w:hAnsiTheme="minorHAnsi" w:cstheme="minorHAnsi"/>
          <w:sz w:val="18"/>
          <w:szCs w:val="18"/>
        </w:rPr>
        <w:t xml:space="preserve"> (</w:t>
      </w:r>
      <w:proofErr w:type="spellStart"/>
      <w:r w:rsidR="00F143F7" w:rsidRPr="001E2538">
        <w:rPr>
          <w:rFonts w:asciiTheme="minorHAnsi" w:hAnsiTheme="minorHAnsi" w:cstheme="minorHAnsi"/>
          <w:sz w:val="18"/>
          <w:szCs w:val="18"/>
        </w:rPr>
        <w:t>C</w:t>
      </w:r>
      <w:r w:rsidR="00BE19C5" w:rsidRPr="001E2538">
        <w:rPr>
          <w:rFonts w:asciiTheme="minorHAnsi" w:hAnsiTheme="minorHAnsi" w:cstheme="minorHAnsi"/>
          <w:sz w:val="18"/>
          <w:szCs w:val="18"/>
        </w:rPr>
        <w:t>mnd</w:t>
      </w:r>
      <w:proofErr w:type="spellEnd"/>
      <w:r w:rsidR="00BE19C5" w:rsidRPr="001E2538">
        <w:rPr>
          <w:rFonts w:asciiTheme="minorHAnsi" w:hAnsiTheme="minorHAnsi" w:cstheme="minorHAnsi"/>
          <w:sz w:val="18"/>
          <w:szCs w:val="18"/>
        </w:rPr>
        <w:t xml:space="preserve"> 5724, 1974)</w:t>
      </w:r>
      <w:r w:rsidR="00244361" w:rsidRPr="001E2538">
        <w:rPr>
          <w:rFonts w:asciiTheme="minorHAnsi" w:hAnsiTheme="minorHAnsi" w:cstheme="minorHAnsi"/>
          <w:sz w:val="18"/>
          <w:szCs w:val="18"/>
        </w:rPr>
        <w:t>)</w:t>
      </w:r>
      <w:r w:rsidR="00BE19C5" w:rsidRPr="001E2538">
        <w:rPr>
          <w:rFonts w:asciiTheme="minorHAnsi" w:hAnsiTheme="minorHAnsi" w:cstheme="minorHAnsi"/>
          <w:sz w:val="18"/>
          <w:szCs w:val="18"/>
        </w:rPr>
        <w:t>.</w:t>
      </w:r>
      <w:r w:rsidR="00AF7F71" w:rsidRPr="001E2538">
        <w:rPr>
          <w:rFonts w:asciiTheme="minorHAnsi" w:hAnsiTheme="minorHAnsi" w:cstheme="minorHAnsi"/>
          <w:sz w:val="18"/>
          <w:szCs w:val="18"/>
        </w:rPr>
        <w:t xml:space="preserve"> In 1971, women made up 6.2% of practising barristers and 1% of QCs. Less than a third of chambers in London and just over a quarter of chambers elsewhere had 2 or more women. </w:t>
      </w:r>
      <w:r w:rsidR="00BE19C5" w:rsidRPr="001E2538">
        <w:rPr>
          <w:rFonts w:asciiTheme="minorHAnsi" w:hAnsiTheme="minorHAnsi" w:cstheme="minorHAnsi"/>
          <w:sz w:val="18"/>
          <w:szCs w:val="18"/>
        </w:rPr>
        <w:t xml:space="preserve"> Women were outnumbered in the senior judiciary by 83:1. </w:t>
      </w:r>
      <w:r w:rsidR="00AF7F71" w:rsidRPr="001E2538">
        <w:rPr>
          <w:rFonts w:asciiTheme="minorHAnsi" w:hAnsiTheme="minorHAnsi" w:cstheme="minorHAnsi"/>
          <w:sz w:val="18"/>
          <w:szCs w:val="18"/>
        </w:rPr>
        <w:t>In 1972, j</w:t>
      </w:r>
      <w:r w:rsidR="00BE19C5" w:rsidRPr="001E2538">
        <w:rPr>
          <w:rFonts w:asciiTheme="minorHAnsi" w:hAnsiTheme="minorHAnsi" w:cstheme="minorHAnsi"/>
          <w:sz w:val="18"/>
          <w:szCs w:val="18"/>
        </w:rPr>
        <w:t>ust four wom</w:t>
      </w:r>
      <w:r w:rsidR="00AF7F71" w:rsidRPr="001E2538">
        <w:rPr>
          <w:rFonts w:asciiTheme="minorHAnsi" w:hAnsiTheme="minorHAnsi" w:cstheme="minorHAnsi"/>
          <w:sz w:val="18"/>
          <w:szCs w:val="18"/>
        </w:rPr>
        <w:t>e</w:t>
      </w:r>
      <w:r w:rsidR="00BE19C5" w:rsidRPr="001E2538">
        <w:rPr>
          <w:rFonts w:asciiTheme="minorHAnsi" w:hAnsiTheme="minorHAnsi" w:cstheme="minorHAnsi"/>
          <w:sz w:val="18"/>
          <w:szCs w:val="18"/>
        </w:rPr>
        <w:t>n sat on the High Court and circuit benches combined. Overall, men made up just over 98</w:t>
      </w:r>
      <w:r w:rsidR="00356F07">
        <w:rPr>
          <w:rFonts w:asciiTheme="minorHAnsi" w:hAnsiTheme="minorHAnsi" w:cstheme="minorHAnsi"/>
          <w:sz w:val="18"/>
          <w:szCs w:val="18"/>
        </w:rPr>
        <w:t xml:space="preserve">% </w:t>
      </w:r>
      <w:r w:rsidR="00BE19C5" w:rsidRPr="001E2538">
        <w:rPr>
          <w:rFonts w:asciiTheme="minorHAnsi" w:hAnsiTheme="minorHAnsi" w:cstheme="minorHAnsi"/>
          <w:sz w:val="18"/>
          <w:szCs w:val="18"/>
        </w:rPr>
        <w:t xml:space="preserve">of the judiciary </w:t>
      </w:r>
      <w:r w:rsidR="00244361" w:rsidRPr="001E2538">
        <w:rPr>
          <w:rFonts w:asciiTheme="minorHAnsi" w:hAnsiTheme="minorHAnsi" w:cstheme="minorHAnsi"/>
          <w:sz w:val="18"/>
          <w:szCs w:val="18"/>
        </w:rPr>
        <w:t>(</w:t>
      </w:r>
      <w:r w:rsidR="00BE19C5" w:rsidRPr="001E2538">
        <w:rPr>
          <w:rFonts w:asciiTheme="minorHAnsi" w:hAnsiTheme="minorHAnsi" w:cstheme="minorHAnsi"/>
          <w:sz w:val="18"/>
          <w:szCs w:val="18"/>
        </w:rPr>
        <w:t>Equal Opportunities Commission</w:t>
      </w:r>
      <w:r w:rsidR="004F7A5E" w:rsidRPr="001E2538">
        <w:rPr>
          <w:rFonts w:asciiTheme="minorHAnsi" w:hAnsiTheme="minorHAnsi" w:cstheme="minorHAnsi"/>
          <w:sz w:val="18"/>
          <w:szCs w:val="18"/>
        </w:rPr>
        <w:t>,</w:t>
      </w:r>
      <w:r w:rsidR="00BE19C5" w:rsidRPr="001E2538">
        <w:rPr>
          <w:rFonts w:asciiTheme="minorHAnsi" w:hAnsiTheme="minorHAnsi" w:cstheme="minorHAnsi"/>
          <w:sz w:val="18"/>
          <w:szCs w:val="18"/>
        </w:rPr>
        <w:t xml:space="preserve"> </w:t>
      </w:r>
      <w:r w:rsidR="00BE19C5" w:rsidRPr="001E2538">
        <w:rPr>
          <w:rFonts w:asciiTheme="minorHAnsi" w:hAnsiTheme="minorHAnsi" w:cstheme="minorHAnsi"/>
          <w:i/>
          <w:iCs/>
          <w:sz w:val="18"/>
          <w:szCs w:val="18"/>
        </w:rPr>
        <w:t xml:space="preserve">Women in the Legal Services </w:t>
      </w:r>
      <w:r w:rsidR="00BE19C5" w:rsidRPr="001E2538">
        <w:rPr>
          <w:rFonts w:asciiTheme="minorHAnsi" w:hAnsiTheme="minorHAnsi" w:cstheme="minorHAnsi"/>
          <w:sz w:val="18"/>
          <w:szCs w:val="18"/>
        </w:rPr>
        <w:t xml:space="preserve">(1978) </w:t>
      </w:r>
      <w:r w:rsidR="00AF7F71" w:rsidRPr="001E2538">
        <w:rPr>
          <w:rFonts w:asciiTheme="minorHAnsi" w:hAnsiTheme="minorHAnsi" w:cstheme="minorHAnsi"/>
          <w:sz w:val="18"/>
          <w:szCs w:val="18"/>
        </w:rPr>
        <w:t xml:space="preserve">14, 16, </w:t>
      </w:r>
      <w:r w:rsidR="00BE19C5" w:rsidRPr="001E2538">
        <w:rPr>
          <w:rFonts w:asciiTheme="minorHAnsi" w:hAnsiTheme="minorHAnsi" w:cstheme="minorHAnsi"/>
          <w:sz w:val="18"/>
          <w:szCs w:val="18"/>
        </w:rPr>
        <w:t>23</w:t>
      </w:r>
      <w:r w:rsidR="00244361" w:rsidRPr="001E2538">
        <w:rPr>
          <w:rFonts w:asciiTheme="minorHAnsi" w:hAnsiTheme="minorHAnsi" w:cstheme="minorHAnsi"/>
          <w:sz w:val="18"/>
          <w:szCs w:val="18"/>
        </w:rPr>
        <w:t>).</w:t>
      </w:r>
    </w:p>
  </w:footnote>
  <w:footnote w:id="123">
    <w:p w14:paraId="1BD72D29" w14:textId="638155F6" w:rsidR="0013003E" w:rsidRPr="001E2538" w:rsidRDefault="0013003E"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9E0397">
        <w:rPr>
          <w:rFonts w:asciiTheme="minorHAnsi" w:hAnsiTheme="minorHAnsi" w:cstheme="minorHAnsi"/>
          <w:sz w:val="18"/>
          <w:szCs w:val="18"/>
        </w:rPr>
        <w:t>Hansard, n 1</w:t>
      </w:r>
      <w:r w:rsidR="00356F07">
        <w:rPr>
          <w:rFonts w:asciiTheme="minorHAnsi" w:hAnsiTheme="minorHAnsi" w:cstheme="minorHAnsi"/>
          <w:sz w:val="18"/>
          <w:szCs w:val="18"/>
        </w:rPr>
        <w:t>1</w:t>
      </w:r>
      <w:r w:rsidR="009E0397">
        <w:rPr>
          <w:rFonts w:asciiTheme="minorHAnsi" w:hAnsiTheme="minorHAnsi" w:cstheme="minorHAnsi"/>
          <w:sz w:val="18"/>
          <w:szCs w:val="18"/>
        </w:rPr>
        <w:t xml:space="preserve">4, </w:t>
      </w:r>
      <w:r w:rsidRPr="001E2538">
        <w:rPr>
          <w:rFonts w:asciiTheme="minorHAnsi" w:hAnsiTheme="minorHAnsi" w:cstheme="minorHAnsi"/>
          <w:sz w:val="18"/>
          <w:szCs w:val="18"/>
        </w:rPr>
        <w:t>col 1305</w:t>
      </w:r>
      <w:r w:rsidR="00090429" w:rsidRPr="001E2538">
        <w:rPr>
          <w:rFonts w:asciiTheme="minorHAnsi" w:hAnsiTheme="minorHAnsi" w:cstheme="minorHAnsi"/>
          <w:sz w:val="18"/>
          <w:szCs w:val="18"/>
        </w:rPr>
        <w:t>.</w:t>
      </w:r>
    </w:p>
  </w:footnote>
  <w:footnote w:id="124">
    <w:p w14:paraId="0FB53A90" w14:textId="340D9333" w:rsidR="005A57FB" w:rsidRPr="001E2538" w:rsidRDefault="005A57FB"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090429" w:rsidRPr="001E2538">
        <w:rPr>
          <w:rFonts w:asciiTheme="minorHAnsi" w:hAnsiTheme="minorHAnsi" w:cstheme="minorHAnsi"/>
          <w:sz w:val="18"/>
          <w:szCs w:val="18"/>
        </w:rPr>
        <w:tab/>
        <w:t>ibid c</w:t>
      </w:r>
      <w:r w:rsidRPr="001E2538">
        <w:rPr>
          <w:rFonts w:asciiTheme="minorHAnsi" w:hAnsiTheme="minorHAnsi" w:cstheme="minorHAnsi"/>
          <w:sz w:val="18"/>
          <w:szCs w:val="18"/>
        </w:rPr>
        <w:t>ol 1311-1312</w:t>
      </w:r>
      <w:r w:rsidR="00090429" w:rsidRPr="001E2538">
        <w:rPr>
          <w:rFonts w:asciiTheme="minorHAnsi" w:hAnsiTheme="minorHAnsi" w:cstheme="minorHAnsi"/>
          <w:sz w:val="18"/>
          <w:szCs w:val="18"/>
        </w:rPr>
        <w:t>.</w:t>
      </w:r>
      <w:r w:rsidR="007051FD" w:rsidRPr="001E2538">
        <w:rPr>
          <w:rFonts w:asciiTheme="minorHAnsi" w:hAnsiTheme="minorHAnsi" w:cstheme="minorHAnsi"/>
          <w:sz w:val="18"/>
          <w:szCs w:val="18"/>
        </w:rPr>
        <w:t xml:space="preserve">  </w:t>
      </w:r>
    </w:p>
  </w:footnote>
  <w:footnote w:id="125">
    <w:p w14:paraId="313D1B45" w14:textId="0829BA89" w:rsidR="007051FD" w:rsidRPr="001E2538" w:rsidRDefault="007051FD" w:rsidP="00E723E9">
      <w:pPr>
        <w:adjustRightInd w:val="0"/>
        <w:snapToGrid w:val="0"/>
        <w:rPr>
          <w:rFonts w:cstheme="minorHAnsi"/>
          <w:sz w:val="18"/>
          <w:szCs w:val="18"/>
        </w:rPr>
      </w:pPr>
      <w:r w:rsidRPr="001E2538">
        <w:rPr>
          <w:rStyle w:val="FootnoteReference"/>
          <w:rFonts w:cstheme="minorHAnsi"/>
          <w:sz w:val="18"/>
          <w:szCs w:val="18"/>
        </w:rPr>
        <w:footnoteRef/>
      </w:r>
      <w:r w:rsidRPr="001E2538">
        <w:rPr>
          <w:rFonts w:cstheme="minorHAnsi"/>
          <w:sz w:val="18"/>
          <w:szCs w:val="18"/>
        </w:rPr>
        <w:t xml:space="preserve"> </w:t>
      </w:r>
      <w:r w:rsidR="00244361" w:rsidRPr="001E2538">
        <w:rPr>
          <w:rFonts w:cstheme="minorHAnsi"/>
          <w:sz w:val="18"/>
          <w:szCs w:val="18"/>
        </w:rPr>
        <w:tab/>
        <w:t xml:space="preserve">The Industrial Arbitration Board was replaced by the Central Arbitration Committee in 1975. </w:t>
      </w:r>
      <w:r w:rsidRPr="001E2538">
        <w:rPr>
          <w:rFonts w:cstheme="minorHAnsi"/>
          <w:sz w:val="18"/>
          <w:szCs w:val="18"/>
        </w:rPr>
        <w:t xml:space="preserve">Industrial Courts Act 1919 was repealed in July 1992 </w:t>
      </w:r>
      <w:r w:rsidR="00244361" w:rsidRPr="001E2538">
        <w:rPr>
          <w:rFonts w:cstheme="minorHAnsi"/>
          <w:sz w:val="18"/>
          <w:szCs w:val="18"/>
        </w:rPr>
        <w:t>by</w:t>
      </w:r>
      <w:r w:rsidRPr="001E2538">
        <w:rPr>
          <w:rFonts w:cstheme="minorHAnsi"/>
          <w:sz w:val="18"/>
          <w:szCs w:val="18"/>
        </w:rPr>
        <w:t xml:space="preserve"> schedule 1 of the Trade Union and Labour Relations (Consolidation) Act 1992.</w:t>
      </w:r>
    </w:p>
  </w:footnote>
  <w:footnote w:id="126">
    <w:p w14:paraId="10F93D4C" w14:textId="4A98AAE3" w:rsidR="00662083" w:rsidRPr="001E2538" w:rsidRDefault="00662083"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ED713B" w:rsidRPr="001E2538">
        <w:rPr>
          <w:rFonts w:asciiTheme="minorHAnsi" w:hAnsiTheme="minorHAnsi" w:cstheme="minorHAnsi"/>
          <w:sz w:val="18"/>
          <w:szCs w:val="18"/>
        </w:rPr>
        <w:tab/>
        <w:t xml:space="preserve">More equal than others? </w:t>
      </w:r>
      <w:r w:rsidR="00ED713B" w:rsidRPr="001E2538">
        <w:rPr>
          <w:rFonts w:asciiTheme="minorHAnsi" w:hAnsiTheme="minorHAnsi" w:cstheme="minorHAnsi"/>
          <w:i/>
          <w:iCs/>
          <w:sz w:val="18"/>
          <w:szCs w:val="18"/>
        </w:rPr>
        <w:t>The Sunday Times</w:t>
      </w:r>
      <w:r w:rsidR="00ED713B" w:rsidRPr="001E2538">
        <w:rPr>
          <w:rFonts w:asciiTheme="minorHAnsi" w:hAnsiTheme="minorHAnsi" w:cstheme="minorHAnsi"/>
          <w:sz w:val="18"/>
          <w:szCs w:val="18"/>
        </w:rPr>
        <w:t xml:space="preserve"> 4 May 1975</w:t>
      </w:r>
    </w:p>
  </w:footnote>
  <w:footnote w:id="127">
    <w:p w14:paraId="3569D172" w14:textId="66F3BFE5" w:rsidR="00060A2F" w:rsidRPr="001E2538" w:rsidRDefault="00060A2F">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proofErr w:type="spellStart"/>
      <w:r w:rsidRPr="001E2538">
        <w:rPr>
          <w:rFonts w:asciiTheme="minorHAnsi" w:hAnsiTheme="minorHAnsi" w:cstheme="minorHAnsi"/>
          <w:sz w:val="18"/>
          <w:szCs w:val="18"/>
        </w:rPr>
        <w:t>Malleson</w:t>
      </w:r>
      <w:proofErr w:type="spellEnd"/>
      <w:r w:rsidRPr="001E2538">
        <w:rPr>
          <w:rFonts w:asciiTheme="minorHAnsi" w:hAnsiTheme="minorHAnsi" w:cstheme="minorHAnsi"/>
          <w:sz w:val="18"/>
          <w:szCs w:val="18"/>
        </w:rPr>
        <w:t>, n 1</w:t>
      </w:r>
      <w:r w:rsidR="00356F07">
        <w:rPr>
          <w:rFonts w:asciiTheme="minorHAnsi" w:hAnsiTheme="minorHAnsi" w:cstheme="minorHAnsi"/>
          <w:sz w:val="18"/>
          <w:szCs w:val="18"/>
        </w:rPr>
        <w:t>9</w:t>
      </w:r>
      <w:r w:rsidRPr="001E2538">
        <w:rPr>
          <w:rFonts w:asciiTheme="minorHAnsi" w:hAnsiTheme="minorHAnsi" w:cstheme="minorHAnsi"/>
          <w:sz w:val="18"/>
          <w:szCs w:val="18"/>
        </w:rPr>
        <w:t>, 280</w:t>
      </w:r>
    </w:p>
  </w:footnote>
  <w:footnote w:id="128">
    <w:p w14:paraId="3AE80FD4" w14:textId="5134AE81" w:rsidR="00136E46" w:rsidRPr="001E2538" w:rsidRDefault="00136E4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060A2F" w:rsidRPr="001E2538">
        <w:rPr>
          <w:rFonts w:asciiTheme="minorHAnsi" w:hAnsiTheme="minorHAnsi" w:cstheme="minorHAnsi"/>
          <w:sz w:val="18"/>
          <w:szCs w:val="18"/>
        </w:rPr>
        <w:t>ibid</w:t>
      </w:r>
      <w:r w:rsidR="006E3D2A" w:rsidRPr="001E2538">
        <w:rPr>
          <w:rFonts w:asciiTheme="minorHAnsi" w:hAnsiTheme="minorHAnsi" w:cstheme="minorHAnsi"/>
          <w:sz w:val="18"/>
          <w:szCs w:val="18"/>
        </w:rPr>
        <w:t xml:space="preserve"> </w:t>
      </w:r>
      <w:r w:rsidRPr="001E2538">
        <w:rPr>
          <w:rFonts w:asciiTheme="minorHAnsi" w:hAnsiTheme="minorHAnsi" w:cstheme="minorHAnsi"/>
          <w:sz w:val="18"/>
          <w:szCs w:val="18"/>
        </w:rPr>
        <w:t>272</w:t>
      </w:r>
      <w:r w:rsidR="006E3D2A" w:rsidRPr="001E2538">
        <w:rPr>
          <w:rFonts w:asciiTheme="minorHAnsi" w:hAnsiTheme="minorHAnsi" w:cstheme="minorHAnsi"/>
          <w:sz w:val="18"/>
          <w:szCs w:val="18"/>
        </w:rPr>
        <w:t>.</w:t>
      </w:r>
    </w:p>
  </w:footnote>
  <w:footnote w:id="129">
    <w:p w14:paraId="6C541710" w14:textId="265E2AA4" w:rsidR="005411FB" w:rsidRPr="001E2538" w:rsidRDefault="005411FB" w:rsidP="005411FB">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9E0397">
        <w:rPr>
          <w:rFonts w:asciiTheme="minorHAnsi" w:hAnsiTheme="minorHAnsi" w:cstheme="minorHAnsi"/>
          <w:sz w:val="18"/>
          <w:szCs w:val="18"/>
        </w:rPr>
        <w:t>i</w:t>
      </w:r>
      <w:r w:rsidR="00060A2F" w:rsidRPr="001E2538">
        <w:rPr>
          <w:rFonts w:asciiTheme="minorHAnsi" w:hAnsiTheme="minorHAnsi" w:cstheme="minorHAnsi"/>
          <w:sz w:val="18"/>
          <w:szCs w:val="18"/>
        </w:rPr>
        <w:t>bid.</w:t>
      </w:r>
    </w:p>
  </w:footnote>
  <w:footnote w:id="130">
    <w:p w14:paraId="67FBE71E" w14:textId="77777777" w:rsidR="00F5154A" w:rsidRPr="001E2538" w:rsidRDefault="00F5154A"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(Heather) Hallett LJ quoted in House of Lord Constitution Committee </w:t>
      </w:r>
      <w:r w:rsidRPr="001E2538">
        <w:rPr>
          <w:rFonts w:asciiTheme="minorHAnsi" w:hAnsiTheme="minorHAnsi" w:cstheme="minorHAnsi"/>
          <w:i/>
          <w:iCs/>
          <w:sz w:val="18"/>
          <w:szCs w:val="18"/>
        </w:rPr>
        <w:t xml:space="preserve">Judicial Appointments </w:t>
      </w:r>
      <w:r w:rsidRPr="001E2538">
        <w:rPr>
          <w:rFonts w:asciiTheme="minorHAnsi" w:hAnsiTheme="minorHAnsi" w:cstheme="minorHAnsi"/>
          <w:sz w:val="18"/>
          <w:szCs w:val="18"/>
        </w:rPr>
        <w:t>(March 2012) [102].</w:t>
      </w:r>
    </w:p>
  </w:footnote>
  <w:footnote w:id="131">
    <w:p w14:paraId="45DE5E69" w14:textId="490FF6E2" w:rsidR="00F5154A" w:rsidRPr="001E2538" w:rsidRDefault="00F5154A"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Lord Burnett LCJ</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‘A Changing Judiciary in a Modern Age’ Treasurer’s Lecture 2019, 18 February 2019.</w:t>
      </w:r>
      <w:r w:rsidR="006E3D2A" w:rsidRPr="001E2538">
        <w:rPr>
          <w:rFonts w:asciiTheme="minorHAnsi" w:hAnsiTheme="minorHAnsi" w:cstheme="minorHAnsi"/>
          <w:sz w:val="18"/>
          <w:szCs w:val="18"/>
        </w:rPr>
        <w:t xml:space="preserve"> Though as </w:t>
      </w:r>
      <w:proofErr w:type="spellStart"/>
      <w:r w:rsidR="006E3D2A" w:rsidRPr="001E2538">
        <w:rPr>
          <w:rFonts w:asciiTheme="minorHAnsi" w:hAnsiTheme="minorHAnsi" w:cstheme="minorHAnsi"/>
          <w:sz w:val="18"/>
          <w:szCs w:val="18"/>
        </w:rPr>
        <w:t>Malleson</w:t>
      </w:r>
      <w:proofErr w:type="spellEnd"/>
      <w:r w:rsidR="006E3D2A" w:rsidRPr="001E2538">
        <w:rPr>
          <w:rFonts w:asciiTheme="minorHAnsi" w:hAnsiTheme="minorHAnsi" w:cstheme="minorHAnsi"/>
          <w:sz w:val="18"/>
          <w:szCs w:val="18"/>
        </w:rPr>
        <w:t xml:space="preserve"> notes ‘</w:t>
      </w:r>
      <w:r w:rsidR="00E723E9" w:rsidRPr="001E2538">
        <w:rPr>
          <w:rFonts w:asciiTheme="minorHAnsi" w:hAnsiTheme="minorHAnsi" w:cstheme="minorHAnsi"/>
          <w:sz w:val="18"/>
          <w:szCs w:val="18"/>
        </w:rPr>
        <w:t>a</w:t>
      </w:r>
      <w:r w:rsidR="006E3D2A" w:rsidRPr="001E2538">
        <w:rPr>
          <w:rFonts w:asciiTheme="minorHAnsi" w:hAnsiTheme="minorHAnsi" w:cstheme="minorHAnsi"/>
          <w:sz w:val="18"/>
          <w:szCs w:val="18"/>
        </w:rPr>
        <w:t xml:space="preserve"> striking feature of the fear of stigmatization is that it does not appear to be shared by white, male barristers from affluent backgrounds appointed under the current system …  </w:t>
      </w:r>
      <w:proofErr w:type="gramStart"/>
      <w:r w:rsidR="006E3D2A" w:rsidRPr="001E2538">
        <w:rPr>
          <w:rFonts w:asciiTheme="minorHAnsi" w:hAnsiTheme="minorHAnsi" w:cstheme="minorHAnsi"/>
          <w:sz w:val="18"/>
          <w:szCs w:val="18"/>
        </w:rPr>
        <w:t>despite the fact that</w:t>
      </w:r>
      <w:proofErr w:type="gramEnd"/>
      <w:r w:rsidR="006E3D2A" w:rsidRPr="001E2538">
        <w:rPr>
          <w:rFonts w:asciiTheme="minorHAnsi" w:hAnsiTheme="minorHAnsi" w:cstheme="minorHAnsi"/>
          <w:sz w:val="18"/>
          <w:szCs w:val="18"/>
        </w:rPr>
        <w:t xml:space="preserve"> they are the beneficiaries of a de facto quota system in their favour</w:t>
      </w:r>
      <w:r w:rsidR="00527421" w:rsidRPr="001E2538">
        <w:rPr>
          <w:rFonts w:asciiTheme="minorHAnsi" w:hAnsiTheme="minorHAnsi" w:cstheme="minorHAnsi"/>
          <w:sz w:val="18"/>
          <w:szCs w:val="18"/>
        </w:rPr>
        <w:t>’ (</w:t>
      </w:r>
      <w:r w:rsidR="00F143F7" w:rsidRPr="001E2538">
        <w:rPr>
          <w:rFonts w:asciiTheme="minorHAnsi" w:hAnsiTheme="minorHAnsi" w:cstheme="minorHAnsi"/>
          <w:sz w:val="18"/>
          <w:szCs w:val="18"/>
        </w:rPr>
        <w:t>n 1</w:t>
      </w:r>
      <w:r w:rsidR="00356F07">
        <w:rPr>
          <w:rFonts w:asciiTheme="minorHAnsi" w:hAnsiTheme="minorHAnsi" w:cstheme="minorHAnsi"/>
          <w:sz w:val="18"/>
          <w:szCs w:val="18"/>
        </w:rPr>
        <w:t>9</w:t>
      </w:r>
      <w:r w:rsidR="00F143F7" w:rsidRPr="001E2538">
        <w:rPr>
          <w:rFonts w:asciiTheme="minorHAnsi" w:hAnsiTheme="minorHAnsi" w:cstheme="minorHAnsi"/>
          <w:sz w:val="18"/>
          <w:szCs w:val="18"/>
        </w:rPr>
        <w:t>,</w:t>
      </w:r>
      <w:r w:rsidR="00527421" w:rsidRPr="001E2538">
        <w:rPr>
          <w:rFonts w:asciiTheme="minorHAnsi" w:hAnsiTheme="minorHAnsi" w:cstheme="minorHAnsi"/>
          <w:sz w:val="18"/>
          <w:szCs w:val="18"/>
        </w:rPr>
        <w:t xml:space="preserve"> 271).</w:t>
      </w:r>
      <w:r w:rsidR="006E3D2A" w:rsidRPr="001E2538">
        <w:rPr>
          <w:rFonts w:asciiTheme="minorHAnsi" w:hAnsiTheme="minorHAnsi" w:cstheme="minorHAnsi"/>
          <w:sz w:val="18"/>
          <w:szCs w:val="18"/>
        </w:rPr>
        <w:t xml:space="preserve"> </w:t>
      </w:r>
    </w:p>
  </w:footnote>
  <w:footnote w:id="132">
    <w:p w14:paraId="5EF0A2B3" w14:textId="4133E686" w:rsidR="005411FB" w:rsidRPr="001E2538" w:rsidRDefault="005411FB" w:rsidP="005411FB">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Brian Leveson</w:t>
      </w:r>
      <w:r w:rsidR="004F7A5E" w:rsidRPr="001E2538">
        <w:rPr>
          <w:rFonts w:asciiTheme="minorHAnsi" w:hAnsiTheme="minorHAnsi" w:cstheme="minorHAnsi"/>
          <w:sz w:val="18"/>
          <w:szCs w:val="18"/>
        </w:rPr>
        <w:t>,</w:t>
      </w:r>
      <w:r w:rsidRPr="001E2538">
        <w:rPr>
          <w:rFonts w:asciiTheme="minorHAnsi" w:hAnsiTheme="minorHAnsi" w:cstheme="minorHAnsi"/>
          <w:sz w:val="18"/>
          <w:szCs w:val="18"/>
        </w:rPr>
        <w:t xml:space="preserve"> ‘Justice for the 21</w:t>
      </w:r>
      <w:r w:rsidRPr="001E2538">
        <w:rPr>
          <w:rFonts w:asciiTheme="minorHAnsi" w:hAnsiTheme="minorHAnsi" w:cstheme="minorHAnsi"/>
          <w:sz w:val="18"/>
          <w:szCs w:val="18"/>
          <w:vertAlign w:val="superscript"/>
        </w:rPr>
        <w:t>st</w:t>
      </w:r>
      <w:r w:rsidRPr="001E2538">
        <w:rPr>
          <w:rFonts w:asciiTheme="minorHAnsi" w:hAnsiTheme="minorHAnsi" w:cstheme="minorHAnsi"/>
          <w:sz w:val="18"/>
          <w:szCs w:val="18"/>
        </w:rPr>
        <w:t xml:space="preserve"> Century’ </w:t>
      </w:r>
      <w:r w:rsidRPr="001E2538">
        <w:rPr>
          <w:rFonts w:asciiTheme="minorHAnsi" w:hAnsiTheme="minorHAnsi" w:cstheme="minorHAnsi"/>
          <w:i/>
          <w:iCs/>
          <w:sz w:val="18"/>
          <w:szCs w:val="18"/>
        </w:rPr>
        <w:t xml:space="preserve">Caroline </w:t>
      </w:r>
      <w:proofErr w:type="spellStart"/>
      <w:r w:rsidRPr="001E2538">
        <w:rPr>
          <w:rFonts w:asciiTheme="minorHAnsi" w:hAnsiTheme="minorHAnsi" w:cstheme="minorHAnsi"/>
          <w:i/>
          <w:iCs/>
          <w:sz w:val="18"/>
          <w:szCs w:val="18"/>
        </w:rPr>
        <w:t>Weatherill</w:t>
      </w:r>
      <w:proofErr w:type="spellEnd"/>
      <w:r w:rsidRPr="001E2538">
        <w:rPr>
          <w:rFonts w:asciiTheme="minorHAnsi" w:hAnsiTheme="minorHAnsi" w:cstheme="minorHAnsi"/>
          <w:i/>
          <w:iCs/>
          <w:sz w:val="18"/>
          <w:szCs w:val="18"/>
        </w:rPr>
        <w:t xml:space="preserve"> Lecture, </w:t>
      </w:r>
      <w:r w:rsidRPr="001E2538">
        <w:rPr>
          <w:rFonts w:asciiTheme="minorHAnsi" w:hAnsiTheme="minorHAnsi" w:cstheme="minorHAnsi"/>
          <w:sz w:val="18"/>
          <w:szCs w:val="18"/>
        </w:rPr>
        <w:t xml:space="preserve">Isle of Man, 9 October 2015, 8. See also Burnett </w:t>
      </w:r>
      <w:r w:rsidR="00F143F7" w:rsidRPr="001E2538">
        <w:rPr>
          <w:rFonts w:asciiTheme="minorHAnsi" w:hAnsiTheme="minorHAnsi" w:cstheme="minorHAnsi"/>
          <w:sz w:val="18"/>
          <w:szCs w:val="18"/>
        </w:rPr>
        <w:t>ibid</w:t>
      </w:r>
      <w:r w:rsidRPr="001E2538">
        <w:rPr>
          <w:rFonts w:asciiTheme="minorHAnsi" w:hAnsiTheme="minorHAnsi" w:cstheme="minorHAnsi"/>
          <w:sz w:val="18"/>
          <w:szCs w:val="18"/>
        </w:rPr>
        <w:t xml:space="preserve">. </w:t>
      </w:r>
    </w:p>
  </w:footnote>
  <w:footnote w:id="133">
    <w:p w14:paraId="6BB2A898" w14:textId="1C6DB9B9" w:rsidR="005411FB" w:rsidRPr="001E2538" w:rsidRDefault="005411FB" w:rsidP="005411FB">
      <w:pPr>
        <w:pStyle w:val="FootnoteText"/>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proofErr w:type="spellStart"/>
      <w:r w:rsidRPr="001E2538">
        <w:rPr>
          <w:rFonts w:asciiTheme="minorHAnsi" w:hAnsiTheme="minorHAnsi" w:cstheme="minorHAnsi"/>
          <w:sz w:val="18"/>
          <w:szCs w:val="18"/>
        </w:rPr>
        <w:t>Cordella</w:t>
      </w:r>
      <w:proofErr w:type="spellEnd"/>
      <w:r w:rsidRPr="001E2538">
        <w:rPr>
          <w:rFonts w:asciiTheme="minorHAnsi" w:hAnsiTheme="minorHAnsi" w:cstheme="minorHAnsi"/>
          <w:sz w:val="18"/>
          <w:szCs w:val="18"/>
        </w:rPr>
        <w:t xml:space="preserve"> Bart-Stuart and Association of Women Barristers quoted in </w:t>
      </w:r>
      <w:r w:rsidR="00F143F7" w:rsidRPr="001E2538">
        <w:rPr>
          <w:rFonts w:asciiTheme="minorHAnsi" w:hAnsiTheme="minorHAnsi" w:cstheme="minorHAnsi"/>
          <w:sz w:val="18"/>
          <w:szCs w:val="18"/>
        </w:rPr>
        <w:t>House of Lord Constitution Committee</w:t>
      </w:r>
      <w:r w:rsidR="004F7A5E" w:rsidRPr="001E2538">
        <w:rPr>
          <w:rFonts w:asciiTheme="minorHAnsi" w:hAnsiTheme="minorHAnsi" w:cstheme="minorHAnsi"/>
          <w:sz w:val="18"/>
          <w:szCs w:val="18"/>
        </w:rPr>
        <w:t>,</w:t>
      </w:r>
      <w:r w:rsidR="00F143F7" w:rsidRPr="001E2538">
        <w:rPr>
          <w:rFonts w:asciiTheme="minorHAnsi" w:hAnsiTheme="minorHAnsi" w:cstheme="minorHAnsi"/>
          <w:sz w:val="18"/>
          <w:szCs w:val="18"/>
        </w:rPr>
        <w:t xml:space="preserve"> </w:t>
      </w:r>
      <w:r w:rsidRPr="001E2538">
        <w:rPr>
          <w:rFonts w:asciiTheme="minorHAnsi" w:hAnsiTheme="minorHAnsi" w:cstheme="minorHAnsi"/>
          <w:sz w:val="18"/>
          <w:szCs w:val="18"/>
        </w:rPr>
        <w:t xml:space="preserve">n </w:t>
      </w:r>
      <w:r w:rsidR="00F143F7" w:rsidRPr="001E2538">
        <w:rPr>
          <w:rFonts w:asciiTheme="minorHAnsi" w:hAnsiTheme="minorHAnsi" w:cstheme="minorHAnsi"/>
          <w:sz w:val="18"/>
          <w:szCs w:val="18"/>
        </w:rPr>
        <w:t>1</w:t>
      </w:r>
      <w:r w:rsidR="00356F07">
        <w:rPr>
          <w:rFonts w:asciiTheme="minorHAnsi" w:hAnsiTheme="minorHAnsi" w:cstheme="minorHAnsi"/>
          <w:sz w:val="18"/>
          <w:szCs w:val="18"/>
        </w:rPr>
        <w:t>2</w:t>
      </w:r>
      <w:r w:rsidR="00F143F7" w:rsidRPr="001E2538">
        <w:rPr>
          <w:rFonts w:asciiTheme="minorHAnsi" w:hAnsiTheme="minorHAnsi" w:cstheme="minorHAnsi"/>
          <w:sz w:val="18"/>
          <w:szCs w:val="18"/>
        </w:rPr>
        <w:t>9</w:t>
      </w:r>
      <w:r w:rsidRPr="001E2538">
        <w:rPr>
          <w:rFonts w:asciiTheme="minorHAnsi" w:hAnsiTheme="minorHAnsi" w:cstheme="minorHAnsi"/>
          <w:sz w:val="18"/>
          <w:szCs w:val="18"/>
        </w:rPr>
        <w:t>, [102].</w:t>
      </w:r>
    </w:p>
  </w:footnote>
  <w:footnote w:id="134">
    <w:p w14:paraId="1F56BE8E" w14:textId="01E1B2B2" w:rsidR="00F5154A" w:rsidRPr="001E2538" w:rsidRDefault="00F5154A"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r w:rsidR="00911081" w:rsidRPr="001E2538">
        <w:rPr>
          <w:rFonts w:asciiTheme="minorHAnsi" w:hAnsiTheme="minorHAnsi" w:cstheme="minorHAnsi"/>
          <w:sz w:val="18"/>
          <w:szCs w:val="18"/>
        </w:rPr>
        <w:t>As f</w:t>
      </w:r>
      <w:r w:rsidRPr="001E2538">
        <w:rPr>
          <w:rFonts w:asciiTheme="minorHAnsi" w:hAnsiTheme="minorHAnsi" w:cstheme="minorHAnsi"/>
          <w:sz w:val="18"/>
          <w:szCs w:val="18"/>
        </w:rPr>
        <w:t xml:space="preserve">eared by Lord Sumption </w:t>
      </w:r>
      <w:r w:rsidR="00911081" w:rsidRPr="001E2538">
        <w:rPr>
          <w:rFonts w:asciiTheme="minorHAnsi" w:hAnsiTheme="minorHAnsi" w:cstheme="minorHAnsi"/>
          <w:sz w:val="18"/>
          <w:szCs w:val="18"/>
        </w:rPr>
        <w:t>(</w:t>
      </w:r>
      <w:r w:rsidRPr="001E2538">
        <w:rPr>
          <w:rFonts w:asciiTheme="minorHAnsi" w:hAnsiTheme="minorHAnsi" w:cstheme="minorHAnsi"/>
          <w:sz w:val="18"/>
          <w:szCs w:val="18"/>
        </w:rPr>
        <w:t>reported in Martin Bentham</w:t>
      </w:r>
      <w:r w:rsidR="00911081" w:rsidRPr="001E2538">
        <w:rPr>
          <w:rFonts w:asciiTheme="minorHAnsi" w:hAnsiTheme="minorHAnsi" w:cstheme="minorHAnsi"/>
          <w:sz w:val="18"/>
          <w:szCs w:val="18"/>
        </w:rPr>
        <w:t>,</w:t>
      </w:r>
      <w:r w:rsidRPr="001E2538">
        <w:rPr>
          <w:rFonts w:asciiTheme="minorHAnsi" w:hAnsiTheme="minorHAnsi" w:cstheme="minorHAnsi"/>
          <w:sz w:val="18"/>
          <w:szCs w:val="18"/>
        </w:rPr>
        <w:t xml:space="preserve"> ‘Rush for gender equality with top judges “could have appalling consequences for justice”</w:t>
      </w:r>
      <w:r w:rsidR="00911081" w:rsidRPr="001E2538">
        <w:rPr>
          <w:rFonts w:asciiTheme="minorHAnsi" w:hAnsiTheme="minorHAnsi" w:cstheme="minorHAnsi"/>
          <w:sz w:val="18"/>
          <w:szCs w:val="18"/>
        </w:rPr>
        <w:t>’</w:t>
      </w:r>
      <w:r w:rsidR="002D24B7" w:rsidRPr="001E2538">
        <w:rPr>
          <w:rFonts w:asciiTheme="minorHAnsi" w:hAnsiTheme="minorHAnsi" w:cstheme="minorHAnsi"/>
          <w:sz w:val="18"/>
          <w:szCs w:val="18"/>
        </w:rPr>
        <w:t xml:space="preserve"> </w:t>
      </w:r>
      <w:r w:rsidRPr="001E2538">
        <w:rPr>
          <w:rFonts w:asciiTheme="minorHAnsi" w:hAnsiTheme="minorHAnsi" w:cstheme="minorHAnsi"/>
          <w:i/>
          <w:iCs/>
          <w:sz w:val="18"/>
          <w:szCs w:val="18"/>
        </w:rPr>
        <w:t>Evening Standard</w:t>
      </w:r>
      <w:r w:rsidRPr="001E2538">
        <w:rPr>
          <w:rFonts w:asciiTheme="minorHAnsi" w:hAnsiTheme="minorHAnsi" w:cstheme="minorHAnsi"/>
          <w:sz w:val="18"/>
          <w:szCs w:val="18"/>
        </w:rPr>
        <w:t xml:space="preserve"> 21 September 2015.</w:t>
      </w:r>
      <w:r w:rsidR="00911081" w:rsidRPr="001E2538">
        <w:rPr>
          <w:rFonts w:asciiTheme="minorHAnsi" w:hAnsiTheme="minorHAnsi" w:cstheme="minorHAnsi"/>
          <w:sz w:val="18"/>
          <w:szCs w:val="18"/>
        </w:rPr>
        <w:t>)</w:t>
      </w:r>
      <w:r w:rsidRPr="001E2538">
        <w:rPr>
          <w:rFonts w:asciiTheme="minorHAnsi" w:hAnsiTheme="minorHAnsi" w:cstheme="minorHAnsi"/>
          <w:sz w:val="18"/>
          <w:szCs w:val="18"/>
        </w:rPr>
        <w:t xml:space="preserve"> Lord Sumption made much the same point in his ‘Home Truths’ lecture in 2013 (‘Home Truths about Judicial Diversity’ Bar Council Law Reform Lecture, 15 November 2012). The irony of this coming from a judge who was himself ‘fast-tracked’ into the Supreme Court was not lost on many (Letters </w:t>
      </w:r>
      <w:r w:rsidR="00911081" w:rsidRPr="001E2538">
        <w:rPr>
          <w:rFonts w:asciiTheme="minorHAnsi" w:hAnsiTheme="minorHAnsi" w:cstheme="minorHAnsi"/>
          <w:sz w:val="18"/>
          <w:szCs w:val="18"/>
        </w:rPr>
        <w:t xml:space="preserve">to </w:t>
      </w:r>
      <w:r w:rsidRPr="001E2538">
        <w:rPr>
          <w:rFonts w:asciiTheme="minorHAnsi" w:hAnsiTheme="minorHAnsi" w:cstheme="minorHAnsi"/>
          <w:sz w:val="18"/>
          <w:szCs w:val="18"/>
        </w:rPr>
        <w:t>the Editor</w:t>
      </w:r>
      <w:r w:rsidR="00911081" w:rsidRPr="001E2538">
        <w:rPr>
          <w:rFonts w:asciiTheme="minorHAnsi" w:hAnsiTheme="minorHAnsi" w:cstheme="minorHAnsi"/>
          <w:sz w:val="18"/>
          <w:szCs w:val="18"/>
        </w:rPr>
        <w:t>,</w:t>
      </w:r>
      <w:r w:rsidRPr="001E2538">
        <w:rPr>
          <w:rFonts w:asciiTheme="minorHAnsi" w:hAnsiTheme="minorHAnsi" w:cstheme="minorHAnsi"/>
          <w:sz w:val="18"/>
          <w:szCs w:val="18"/>
        </w:rPr>
        <w:t xml:space="preserve"> ‘The fast tracking of women into the judiciary’ </w:t>
      </w:r>
      <w:r w:rsidRPr="001E2538">
        <w:rPr>
          <w:rFonts w:asciiTheme="minorHAnsi" w:hAnsiTheme="minorHAnsi" w:cstheme="minorHAnsi"/>
          <w:i/>
          <w:iCs/>
          <w:sz w:val="18"/>
          <w:szCs w:val="18"/>
        </w:rPr>
        <w:t>The Times</w:t>
      </w:r>
      <w:r w:rsidRPr="001E2538">
        <w:rPr>
          <w:rFonts w:asciiTheme="minorHAnsi" w:hAnsiTheme="minorHAnsi" w:cstheme="minorHAnsi"/>
          <w:sz w:val="18"/>
          <w:szCs w:val="18"/>
        </w:rPr>
        <w:t xml:space="preserve"> 26 September 2015).</w:t>
      </w:r>
    </w:p>
  </w:footnote>
  <w:footnote w:id="135">
    <w:p w14:paraId="6E0AA35E" w14:textId="09F56FBF" w:rsidR="00136E46" w:rsidRPr="001E2538" w:rsidRDefault="00136E4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Nicholas Watt</w:t>
      </w:r>
      <w:r w:rsidR="00911081" w:rsidRPr="001E2538">
        <w:rPr>
          <w:rFonts w:asciiTheme="minorHAnsi" w:hAnsiTheme="minorHAnsi" w:cstheme="minorHAnsi"/>
          <w:sz w:val="18"/>
          <w:szCs w:val="18"/>
        </w:rPr>
        <w:t>,</w:t>
      </w:r>
      <w:r w:rsidRPr="001E2538">
        <w:rPr>
          <w:rFonts w:asciiTheme="minorHAnsi" w:hAnsiTheme="minorHAnsi" w:cstheme="minorHAnsi"/>
          <w:sz w:val="18"/>
          <w:szCs w:val="18"/>
        </w:rPr>
        <w:t xml:space="preserve"> ‘Labour prepared to introduce judge quotas to achieve balanced judiciary’ </w:t>
      </w:r>
      <w:r w:rsidR="00F143F7" w:rsidRPr="001E2538">
        <w:rPr>
          <w:rFonts w:asciiTheme="minorHAnsi" w:hAnsiTheme="minorHAnsi" w:cstheme="minorHAnsi"/>
          <w:i/>
          <w:iCs/>
          <w:sz w:val="18"/>
          <w:szCs w:val="18"/>
        </w:rPr>
        <w:t>T</w:t>
      </w:r>
      <w:r w:rsidRPr="001E2538">
        <w:rPr>
          <w:rFonts w:asciiTheme="minorHAnsi" w:hAnsiTheme="minorHAnsi" w:cstheme="minorHAnsi"/>
          <w:i/>
          <w:iCs/>
          <w:sz w:val="18"/>
          <w:szCs w:val="18"/>
        </w:rPr>
        <w:t>he Guardian</w:t>
      </w:r>
      <w:r w:rsidRPr="001E2538">
        <w:rPr>
          <w:rFonts w:asciiTheme="minorHAnsi" w:hAnsiTheme="minorHAnsi" w:cstheme="minorHAnsi"/>
          <w:sz w:val="18"/>
          <w:szCs w:val="18"/>
        </w:rPr>
        <w:t xml:space="preserve"> 20 April 2014. </w:t>
      </w:r>
    </w:p>
  </w:footnote>
  <w:footnote w:id="136">
    <w:p w14:paraId="292A3D9E" w14:textId="27CCA710" w:rsidR="00136E46" w:rsidRPr="001E2538" w:rsidRDefault="00136E46"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As argued, </w:t>
      </w:r>
      <w:proofErr w:type="spellStart"/>
      <w:r w:rsidRPr="001E2538">
        <w:rPr>
          <w:rFonts w:asciiTheme="minorHAnsi" w:hAnsiTheme="minorHAnsi" w:cstheme="minorHAnsi"/>
          <w:sz w:val="18"/>
          <w:szCs w:val="18"/>
        </w:rPr>
        <w:t>eg</w:t>
      </w:r>
      <w:proofErr w:type="spellEnd"/>
      <w:r w:rsidRPr="001E2538">
        <w:rPr>
          <w:rFonts w:asciiTheme="minorHAnsi" w:hAnsiTheme="minorHAnsi" w:cstheme="minorHAnsi"/>
          <w:sz w:val="18"/>
          <w:szCs w:val="18"/>
        </w:rPr>
        <w:t xml:space="preserve">, by David Lammy and </w:t>
      </w:r>
      <w:proofErr w:type="spellStart"/>
      <w:r w:rsidRPr="001E2538">
        <w:rPr>
          <w:rFonts w:asciiTheme="minorHAnsi" w:hAnsiTheme="minorHAnsi" w:cstheme="minorHAnsi"/>
          <w:sz w:val="18"/>
          <w:szCs w:val="18"/>
        </w:rPr>
        <w:t>Shami</w:t>
      </w:r>
      <w:proofErr w:type="spellEnd"/>
      <w:r w:rsidRPr="001E2538">
        <w:rPr>
          <w:rFonts w:asciiTheme="minorHAnsi" w:hAnsiTheme="minorHAnsi" w:cstheme="minorHAnsi"/>
          <w:sz w:val="18"/>
          <w:szCs w:val="18"/>
        </w:rPr>
        <w:t xml:space="preserve"> Chakrabarti (in </w:t>
      </w:r>
      <w:proofErr w:type="spellStart"/>
      <w:r w:rsidRPr="001E2538">
        <w:rPr>
          <w:rFonts w:asciiTheme="minorHAnsi" w:hAnsiTheme="minorHAnsi" w:cstheme="minorHAnsi"/>
          <w:sz w:val="18"/>
          <w:szCs w:val="18"/>
        </w:rPr>
        <w:t>Monidipa</w:t>
      </w:r>
      <w:proofErr w:type="spellEnd"/>
      <w:r w:rsidRPr="001E2538">
        <w:rPr>
          <w:rFonts w:asciiTheme="minorHAnsi" w:hAnsiTheme="minorHAnsi" w:cstheme="minorHAnsi"/>
          <w:sz w:val="18"/>
          <w:szCs w:val="18"/>
        </w:rPr>
        <w:t xml:space="preserve"> </w:t>
      </w:r>
      <w:proofErr w:type="spellStart"/>
      <w:r w:rsidRPr="001E2538">
        <w:rPr>
          <w:rFonts w:asciiTheme="minorHAnsi" w:hAnsiTheme="minorHAnsi" w:cstheme="minorHAnsi"/>
          <w:sz w:val="18"/>
          <w:szCs w:val="18"/>
        </w:rPr>
        <w:t>Fouzder</w:t>
      </w:r>
      <w:proofErr w:type="spellEnd"/>
      <w:r w:rsidR="00911081" w:rsidRPr="001E2538">
        <w:rPr>
          <w:rFonts w:asciiTheme="minorHAnsi" w:hAnsiTheme="minorHAnsi" w:cstheme="minorHAnsi"/>
          <w:sz w:val="18"/>
          <w:szCs w:val="18"/>
        </w:rPr>
        <w:t>,</w:t>
      </w:r>
      <w:r w:rsidRPr="001E2538">
        <w:rPr>
          <w:rFonts w:asciiTheme="minorHAnsi" w:hAnsiTheme="minorHAnsi" w:cstheme="minorHAnsi"/>
          <w:sz w:val="18"/>
          <w:szCs w:val="18"/>
        </w:rPr>
        <w:t xml:space="preserve"> ‘Labour conference: quotas needed to improve judicial diversity’ </w:t>
      </w:r>
      <w:r w:rsidRPr="001E2538">
        <w:rPr>
          <w:rFonts w:asciiTheme="minorHAnsi" w:hAnsiTheme="minorHAnsi" w:cstheme="minorHAnsi"/>
          <w:i/>
          <w:iCs/>
          <w:sz w:val="18"/>
          <w:szCs w:val="18"/>
        </w:rPr>
        <w:t xml:space="preserve">Law Society Gazette </w:t>
      </w:r>
      <w:r w:rsidRPr="001E2538">
        <w:rPr>
          <w:rFonts w:asciiTheme="minorHAnsi" w:hAnsiTheme="minorHAnsi" w:cstheme="minorHAnsi"/>
          <w:sz w:val="18"/>
          <w:szCs w:val="18"/>
        </w:rPr>
        <w:t>25 September 2019) and by Linda Dobbs (</w:t>
      </w:r>
      <w:proofErr w:type="spellStart"/>
      <w:r w:rsidRPr="001E2538">
        <w:rPr>
          <w:rFonts w:asciiTheme="minorHAnsi" w:hAnsiTheme="minorHAnsi" w:cstheme="minorHAnsi"/>
          <w:sz w:val="18"/>
          <w:szCs w:val="18"/>
        </w:rPr>
        <w:t>Monidipa</w:t>
      </w:r>
      <w:proofErr w:type="spellEnd"/>
      <w:r w:rsidRPr="001E2538">
        <w:rPr>
          <w:rFonts w:asciiTheme="minorHAnsi" w:hAnsiTheme="minorHAnsi" w:cstheme="minorHAnsi"/>
          <w:sz w:val="18"/>
          <w:szCs w:val="18"/>
        </w:rPr>
        <w:t xml:space="preserve"> </w:t>
      </w:r>
      <w:proofErr w:type="spellStart"/>
      <w:r w:rsidRPr="001E2538">
        <w:rPr>
          <w:rFonts w:asciiTheme="minorHAnsi" w:hAnsiTheme="minorHAnsi" w:cstheme="minorHAnsi"/>
          <w:sz w:val="18"/>
          <w:szCs w:val="18"/>
        </w:rPr>
        <w:t>Fouzder</w:t>
      </w:r>
      <w:proofErr w:type="spellEnd"/>
      <w:r w:rsidR="00911081" w:rsidRPr="001E2538">
        <w:rPr>
          <w:rFonts w:asciiTheme="minorHAnsi" w:hAnsiTheme="minorHAnsi" w:cstheme="minorHAnsi"/>
          <w:sz w:val="18"/>
          <w:szCs w:val="18"/>
        </w:rPr>
        <w:t>,</w:t>
      </w:r>
      <w:r w:rsidRPr="001E2538">
        <w:rPr>
          <w:rFonts w:asciiTheme="minorHAnsi" w:hAnsiTheme="minorHAnsi" w:cstheme="minorHAnsi"/>
          <w:sz w:val="18"/>
          <w:szCs w:val="18"/>
        </w:rPr>
        <w:t xml:space="preserve"> ‘Former senior judge urges caution over quotas’</w:t>
      </w:r>
      <w:r w:rsidRPr="001E2538">
        <w:rPr>
          <w:rFonts w:asciiTheme="minorHAnsi" w:hAnsiTheme="minorHAnsi" w:cstheme="minorHAnsi"/>
          <w:i/>
          <w:iCs/>
          <w:sz w:val="18"/>
          <w:szCs w:val="18"/>
        </w:rPr>
        <w:t xml:space="preserve"> Law Society Gazette </w:t>
      </w:r>
      <w:r w:rsidRPr="001E2538">
        <w:rPr>
          <w:rFonts w:asciiTheme="minorHAnsi" w:hAnsiTheme="minorHAnsi" w:cstheme="minorHAnsi"/>
          <w:sz w:val="18"/>
          <w:szCs w:val="18"/>
        </w:rPr>
        <w:t>24 March 2016).</w:t>
      </w:r>
    </w:p>
  </w:footnote>
  <w:footnote w:id="137">
    <w:p w14:paraId="6FB65584" w14:textId="2B6FBAD7" w:rsidR="00617258" w:rsidRPr="001E2538" w:rsidRDefault="00617258"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 xml:space="preserve">See </w:t>
      </w:r>
      <w:proofErr w:type="spellStart"/>
      <w:proofErr w:type="gramStart"/>
      <w:r w:rsidRPr="001E2538">
        <w:rPr>
          <w:rFonts w:asciiTheme="minorHAnsi" w:hAnsiTheme="minorHAnsi" w:cstheme="minorHAnsi"/>
          <w:sz w:val="18"/>
          <w:szCs w:val="18"/>
        </w:rPr>
        <w:t>eg</w:t>
      </w:r>
      <w:proofErr w:type="spellEnd"/>
      <w:proofErr w:type="gramEnd"/>
      <w:r w:rsidRPr="001E2538">
        <w:rPr>
          <w:rFonts w:asciiTheme="minorHAnsi" w:hAnsiTheme="minorHAnsi" w:cstheme="minorHAnsi"/>
          <w:sz w:val="18"/>
          <w:szCs w:val="18"/>
        </w:rPr>
        <w:t xml:space="preserve"> Kate </w:t>
      </w:r>
      <w:proofErr w:type="spellStart"/>
      <w:r w:rsidRPr="001E2538">
        <w:rPr>
          <w:rFonts w:asciiTheme="minorHAnsi" w:hAnsiTheme="minorHAnsi" w:cstheme="minorHAnsi"/>
          <w:sz w:val="18"/>
          <w:szCs w:val="18"/>
        </w:rPr>
        <w:t>Malleson</w:t>
      </w:r>
      <w:proofErr w:type="spellEnd"/>
      <w:r w:rsidR="00911081" w:rsidRPr="001E2538">
        <w:rPr>
          <w:rFonts w:asciiTheme="minorHAnsi" w:hAnsiTheme="minorHAnsi" w:cstheme="minorHAnsi"/>
          <w:sz w:val="18"/>
          <w:szCs w:val="18"/>
        </w:rPr>
        <w:t>,</w:t>
      </w:r>
      <w:r w:rsidRPr="001E2538">
        <w:rPr>
          <w:rFonts w:asciiTheme="minorHAnsi" w:hAnsiTheme="minorHAnsi" w:cstheme="minorHAnsi"/>
          <w:sz w:val="18"/>
          <w:szCs w:val="18"/>
        </w:rPr>
        <w:t xml:space="preserve"> ‘Diversity in the Judiciary: The Case for Positive Action’ (2009) 36(3) </w:t>
      </w:r>
      <w:r w:rsidRPr="001E2538">
        <w:rPr>
          <w:rFonts w:asciiTheme="minorHAnsi" w:hAnsiTheme="minorHAnsi" w:cstheme="minorHAnsi"/>
          <w:i/>
          <w:iCs/>
          <w:sz w:val="18"/>
          <w:szCs w:val="18"/>
        </w:rPr>
        <w:t xml:space="preserve">Journal of Law and Society </w:t>
      </w:r>
      <w:r w:rsidRPr="001E2538">
        <w:rPr>
          <w:rFonts w:asciiTheme="minorHAnsi" w:hAnsiTheme="minorHAnsi" w:cstheme="minorHAnsi"/>
          <w:sz w:val="18"/>
          <w:szCs w:val="18"/>
        </w:rPr>
        <w:t>376</w:t>
      </w:r>
      <w:r w:rsidR="00073DF3" w:rsidRPr="001E2538">
        <w:rPr>
          <w:rFonts w:asciiTheme="minorHAnsi" w:hAnsiTheme="minorHAnsi" w:cstheme="minorHAnsi"/>
          <w:sz w:val="18"/>
          <w:szCs w:val="18"/>
        </w:rPr>
        <w:t xml:space="preserve"> and, for a rebuttal of potential legal changes to the imposition of quotas, see Bindman and Monaghan</w:t>
      </w:r>
      <w:r w:rsidR="00911081" w:rsidRPr="001E2538">
        <w:rPr>
          <w:rFonts w:asciiTheme="minorHAnsi" w:hAnsiTheme="minorHAnsi" w:cstheme="minorHAnsi"/>
          <w:sz w:val="18"/>
          <w:szCs w:val="18"/>
        </w:rPr>
        <w:t>,</w:t>
      </w:r>
      <w:r w:rsidR="00073DF3" w:rsidRPr="001E2538">
        <w:rPr>
          <w:rFonts w:asciiTheme="minorHAnsi" w:hAnsiTheme="minorHAnsi" w:cstheme="minorHAnsi"/>
          <w:sz w:val="18"/>
          <w:szCs w:val="18"/>
        </w:rPr>
        <w:t xml:space="preserve"> n </w:t>
      </w:r>
      <w:r w:rsidR="00356F07">
        <w:rPr>
          <w:rFonts w:asciiTheme="minorHAnsi" w:hAnsiTheme="minorHAnsi" w:cstheme="minorHAnsi"/>
          <w:sz w:val="18"/>
          <w:szCs w:val="18"/>
        </w:rPr>
        <w:t>52</w:t>
      </w:r>
      <w:r w:rsidR="00F143F7" w:rsidRPr="001E2538">
        <w:rPr>
          <w:rFonts w:asciiTheme="minorHAnsi" w:hAnsiTheme="minorHAnsi" w:cstheme="minorHAnsi"/>
          <w:sz w:val="18"/>
          <w:szCs w:val="18"/>
        </w:rPr>
        <w:t xml:space="preserve">, </w:t>
      </w:r>
      <w:r w:rsidR="00073DF3" w:rsidRPr="001E2538">
        <w:rPr>
          <w:rFonts w:asciiTheme="minorHAnsi" w:hAnsiTheme="minorHAnsi" w:cstheme="minorHAnsi"/>
          <w:sz w:val="18"/>
          <w:szCs w:val="18"/>
        </w:rPr>
        <w:t xml:space="preserve">[8.9]-8.16] and Colm </w:t>
      </w:r>
      <w:proofErr w:type="spellStart"/>
      <w:r w:rsidR="00073DF3" w:rsidRPr="001E2538">
        <w:rPr>
          <w:rFonts w:asciiTheme="minorHAnsi" w:hAnsiTheme="minorHAnsi" w:cstheme="minorHAnsi"/>
          <w:sz w:val="18"/>
          <w:szCs w:val="18"/>
        </w:rPr>
        <w:t>O’Cinneide</w:t>
      </w:r>
      <w:proofErr w:type="spellEnd"/>
      <w:r w:rsidR="00073DF3" w:rsidRPr="001E2538">
        <w:rPr>
          <w:rFonts w:asciiTheme="minorHAnsi" w:hAnsiTheme="minorHAnsi" w:cstheme="minorHAnsi"/>
          <w:sz w:val="18"/>
          <w:szCs w:val="18"/>
        </w:rPr>
        <w:t xml:space="preserve"> and Kate </w:t>
      </w:r>
      <w:proofErr w:type="spellStart"/>
      <w:r w:rsidR="00073DF3" w:rsidRPr="001E2538">
        <w:rPr>
          <w:rFonts w:asciiTheme="minorHAnsi" w:hAnsiTheme="minorHAnsi" w:cstheme="minorHAnsi"/>
          <w:sz w:val="18"/>
          <w:szCs w:val="18"/>
        </w:rPr>
        <w:t>Malleson</w:t>
      </w:r>
      <w:proofErr w:type="spellEnd"/>
      <w:r w:rsidR="00911081" w:rsidRPr="001E2538">
        <w:rPr>
          <w:rFonts w:asciiTheme="minorHAnsi" w:hAnsiTheme="minorHAnsi" w:cstheme="minorHAnsi"/>
          <w:sz w:val="18"/>
          <w:szCs w:val="18"/>
        </w:rPr>
        <w:t>,</w:t>
      </w:r>
      <w:r w:rsidR="00073DF3" w:rsidRPr="001E2538">
        <w:rPr>
          <w:rFonts w:asciiTheme="minorHAnsi" w:hAnsiTheme="minorHAnsi" w:cstheme="minorHAnsi"/>
          <w:sz w:val="18"/>
          <w:szCs w:val="18"/>
        </w:rPr>
        <w:t xml:space="preserve"> ‘Are quotas for judicial appointments lawful under EU law? </w:t>
      </w:r>
      <w:r w:rsidR="00073DF3" w:rsidRPr="001E2538">
        <w:rPr>
          <w:rFonts w:asciiTheme="minorHAnsi" w:hAnsiTheme="minorHAnsi" w:cstheme="minorHAnsi"/>
          <w:i/>
          <w:iCs/>
          <w:sz w:val="18"/>
          <w:szCs w:val="18"/>
        </w:rPr>
        <w:t>UK Constitutional Law Blog</w:t>
      </w:r>
      <w:r w:rsidR="00073DF3" w:rsidRPr="001E2538">
        <w:rPr>
          <w:rFonts w:asciiTheme="minorHAnsi" w:hAnsiTheme="minorHAnsi" w:cstheme="minorHAnsi"/>
          <w:sz w:val="18"/>
          <w:szCs w:val="18"/>
        </w:rPr>
        <w:t xml:space="preserve"> 12 November 2014: available at </w:t>
      </w:r>
      <w:hyperlink r:id="rId4" w:history="1">
        <w:r w:rsidR="00073DF3" w:rsidRPr="001E2538">
          <w:rPr>
            <w:rStyle w:val="Hyperlink"/>
            <w:rFonts w:asciiTheme="minorHAnsi" w:hAnsiTheme="minorHAnsi" w:cstheme="minorHAnsi"/>
            <w:color w:val="auto"/>
            <w:sz w:val="18"/>
            <w:szCs w:val="18"/>
          </w:rPr>
          <w:t>http://ukconstitutionallaw.org</w:t>
        </w:r>
      </w:hyperlink>
      <w:r w:rsidR="00073DF3" w:rsidRPr="001E2538">
        <w:rPr>
          <w:rFonts w:asciiTheme="minorHAnsi" w:hAnsiTheme="minorHAnsi" w:cstheme="minorHAnsi"/>
          <w:sz w:val="18"/>
          <w:szCs w:val="18"/>
        </w:rPr>
        <w:t>.</w:t>
      </w:r>
    </w:p>
  </w:footnote>
  <w:footnote w:id="138">
    <w:p w14:paraId="1F5C637F" w14:textId="0649E1CD" w:rsidR="00690C02" w:rsidRPr="001E2538" w:rsidRDefault="00690C02"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r>
      <w:proofErr w:type="spellStart"/>
      <w:r w:rsidR="00065978" w:rsidRPr="001E2538">
        <w:rPr>
          <w:rFonts w:asciiTheme="minorHAnsi" w:hAnsiTheme="minorHAnsi" w:cstheme="minorHAnsi"/>
          <w:sz w:val="18"/>
          <w:szCs w:val="18"/>
        </w:rPr>
        <w:t>Malleson</w:t>
      </w:r>
      <w:proofErr w:type="spellEnd"/>
      <w:r w:rsidR="00911081" w:rsidRPr="001E2538">
        <w:rPr>
          <w:rFonts w:asciiTheme="minorHAnsi" w:hAnsiTheme="minorHAnsi" w:cstheme="minorHAnsi"/>
          <w:sz w:val="18"/>
          <w:szCs w:val="18"/>
        </w:rPr>
        <w:t>,</w:t>
      </w:r>
      <w:r w:rsidR="00065978" w:rsidRPr="001E2538">
        <w:rPr>
          <w:rFonts w:asciiTheme="minorHAnsi" w:hAnsiTheme="minorHAnsi" w:cstheme="minorHAnsi"/>
          <w:sz w:val="18"/>
          <w:szCs w:val="18"/>
        </w:rPr>
        <w:t xml:space="preserve"> n </w:t>
      </w:r>
      <w:r w:rsidR="00F143F7" w:rsidRPr="001E2538">
        <w:rPr>
          <w:rFonts w:asciiTheme="minorHAnsi" w:hAnsiTheme="minorHAnsi" w:cstheme="minorHAnsi"/>
          <w:sz w:val="18"/>
          <w:szCs w:val="18"/>
        </w:rPr>
        <w:t>1</w:t>
      </w:r>
      <w:r w:rsidR="00356F07">
        <w:rPr>
          <w:rFonts w:asciiTheme="minorHAnsi" w:hAnsiTheme="minorHAnsi" w:cstheme="minorHAnsi"/>
          <w:sz w:val="18"/>
          <w:szCs w:val="18"/>
        </w:rPr>
        <w:t>9</w:t>
      </w:r>
      <w:r w:rsidR="00065978" w:rsidRPr="001E2538">
        <w:rPr>
          <w:rFonts w:asciiTheme="minorHAnsi" w:hAnsiTheme="minorHAnsi" w:cstheme="minorHAnsi"/>
          <w:sz w:val="18"/>
          <w:szCs w:val="18"/>
        </w:rPr>
        <w:t>,</w:t>
      </w:r>
      <w:r w:rsidRPr="001E2538">
        <w:rPr>
          <w:rFonts w:asciiTheme="minorHAnsi" w:hAnsiTheme="minorHAnsi" w:cstheme="minorHAnsi"/>
          <w:sz w:val="18"/>
          <w:szCs w:val="18"/>
        </w:rPr>
        <w:t xml:space="preserve"> 273</w:t>
      </w:r>
      <w:r w:rsidR="00003BE8" w:rsidRPr="001E2538">
        <w:rPr>
          <w:rFonts w:asciiTheme="minorHAnsi" w:hAnsiTheme="minorHAnsi" w:cstheme="minorHAnsi"/>
          <w:sz w:val="18"/>
          <w:szCs w:val="18"/>
        </w:rPr>
        <w:t>.</w:t>
      </w:r>
    </w:p>
  </w:footnote>
  <w:footnote w:id="139">
    <w:p w14:paraId="594B4891" w14:textId="0DC6815E" w:rsidR="00D82555" w:rsidRPr="001E2538" w:rsidRDefault="00D82555"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Pr="001E2538">
        <w:rPr>
          <w:rFonts w:asciiTheme="minorHAnsi" w:hAnsiTheme="minorHAnsi" w:cstheme="minorHAnsi"/>
          <w:sz w:val="18"/>
          <w:szCs w:val="18"/>
        </w:rPr>
        <w:tab/>
        <w:t>ibid 259</w:t>
      </w:r>
      <w:r w:rsidR="00904504" w:rsidRPr="001E2538">
        <w:rPr>
          <w:rFonts w:asciiTheme="minorHAnsi" w:hAnsiTheme="minorHAnsi" w:cstheme="minorHAnsi"/>
          <w:sz w:val="18"/>
          <w:szCs w:val="18"/>
        </w:rPr>
        <w:t xml:space="preserve"> (my italics). </w:t>
      </w:r>
    </w:p>
  </w:footnote>
  <w:footnote w:id="140">
    <w:p w14:paraId="6BCBB750" w14:textId="3D473A16" w:rsidR="007051FD" w:rsidRPr="001E2538" w:rsidRDefault="007051F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A23299" w:rsidRPr="001E2538">
        <w:rPr>
          <w:rFonts w:asciiTheme="minorHAnsi" w:hAnsiTheme="minorHAnsi" w:cstheme="minorHAnsi"/>
          <w:sz w:val="18"/>
          <w:szCs w:val="18"/>
        </w:rPr>
        <w:tab/>
      </w:r>
      <w:r w:rsidR="00356F07">
        <w:rPr>
          <w:rFonts w:asciiTheme="minorHAnsi" w:hAnsiTheme="minorHAnsi" w:cstheme="minorHAnsi"/>
          <w:sz w:val="18"/>
          <w:szCs w:val="18"/>
        </w:rPr>
        <w:t xml:space="preserve">Hansard, </w:t>
      </w:r>
      <w:r w:rsidR="00902F72" w:rsidRPr="001E2538">
        <w:rPr>
          <w:rFonts w:asciiTheme="minorHAnsi" w:hAnsiTheme="minorHAnsi" w:cstheme="minorHAnsi"/>
          <w:sz w:val="18"/>
          <w:szCs w:val="18"/>
        </w:rPr>
        <w:t>‘</w:t>
      </w:r>
      <w:r w:rsidR="00A23299" w:rsidRPr="001E2538">
        <w:rPr>
          <w:rFonts w:asciiTheme="minorHAnsi" w:hAnsiTheme="minorHAnsi" w:cstheme="minorHAnsi"/>
          <w:sz w:val="18"/>
          <w:szCs w:val="18"/>
        </w:rPr>
        <w:t>Industrial Courts Bill</w:t>
      </w:r>
      <w:r w:rsidR="00902F72" w:rsidRPr="001E2538">
        <w:rPr>
          <w:rFonts w:asciiTheme="minorHAnsi" w:hAnsiTheme="minorHAnsi" w:cstheme="minorHAnsi"/>
          <w:sz w:val="18"/>
          <w:szCs w:val="18"/>
        </w:rPr>
        <w:t>’</w:t>
      </w:r>
      <w:r w:rsidR="00A23299" w:rsidRPr="001E2538">
        <w:rPr>
          <w:rFonts w:asciiTheme="minorHAnsi" w:hAnsiTheme="minorHAnsi" w:cstheme="minorHAnsi"/>
          <w:sz w:val="18"/>
          <w:szCs w:val="18"/>
        </w:rPr>
        <w:t xml:space="preserve"> HC Deb, vol 120</w:t>
      </w:r>
      <w:r w:rsidR="00902F72" w:rsidRPr="001E2538">
        <w:rPr>
          <w:rFonts w:asciiTheme="minorHAnsi" w:hAnsiTheme="minorHAnsi" w:cstheme="minorHAnsi"/>
          <w:sz w:val="18"/>
          <w:szCs w:val="18"/>
        </w:rPr>
        <w:t xml:space="preserve"> </w:t>
      </w:r>
      <w:r w:rsidR="00A23299" w:rsidRPr="001E2538">
        <w:rPr>
          <w:rFonts w:asciiTheme="minorHAnsi" w:hAnsiTheme="minorHAnsi" w:cstheme="minorHAnsi"/>
          <w:sz w:val="18"/>
          <w:szCs w:val="18"/>
        </w:rPr>
        <w:t>col 1724</w:t>
      </w:r>
      <w:r w:rsidR="009E0397">
        <w:rPr>
          <w:rFonts w:asciiTheme="minorHAnsi" w:hAnsiTheme="minorHAnsi" w:cstheme="minorHAnsi"/>
          <w:sz w:val="18"/>
          <w:szCs w:val="18"/>
        </w:rPr>
        <w:t xml:space="preserve"> (</w:t>
      </w:r>
      <w:r w:rsidR="009E0397" w:rsidRPr="001E2538">
        <w:rPr>
          <w:rFonts w:asciiTheme="minorHAnsi" w:hAnsiTheme="minorHAnsi" w:cstheme="minorHAnsi"/>
          <w:sz w:val="18"/>
          <w:szCs w:val="18"/>
        </w:rPr>
        <w:t>6 November 1919</w:t>
      </w:r>
      <w:r w:rsidR="009E0397">
        <w:rPr>
          <w:rFonts w:asciiTheme="minorHAnsi" w:hAnsiTheme="minorHAnsi" w:cstheme="minorHAnsi"/>
          <w:sz w:val="18"/>
          <w:szCs w:val="18"/>
        </w:rPr>
        <w:t>)</w:t>
      </w:r>
      <w:r w:rsidR="00A23299" w:rsidRPr="001E2538">
        <w:rPr>
          <w:rFonts w:asciiTheme="minorHAnsi" w:hAnsiTheme="minorHAnsi" w:cstheme="minorHAnsi"/>
          <w:sz w:val="18"/>
          <w:szCs w:val="18"/>
        </w:rPr>
        <w:t>.</w:t>
      </w:r>
    </w:p>
  </w:footnote>
  <w:footnote w:id="141">
    <w:p w14:paraId="75074E29" w14:textId="7F64B49E" w:rsidR="007051FD" w:rsidRPr="001E2538" w:rsidRDefault="007051F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C57D8B" w:rsidRPr="001E2538">
        <w:rPr>
          <w:rFonts w:asciiTheme="minorHAnsi" w:hAnsiTheme="minorHAnsi" w:cstheme="minorHAnsi"/>
          <w:sz w:val="18"/>
          <w:szCs w:val="18"/>
        </w:rPr>
        <w:tab/>
      </w:r>
      <w:r w:rsidRPr="001E2538">
        <w:rPr>
          <w:rFonts w:asciiTheme="minorHAnsi" w:hAnsiTheme="minorHAnsi" w:cstheme="minorHAnsi"/>
          <w:sz w:val="18"/>
          <w:szCs w:val="18"/>
        </w:rPr>
        <w:t xml:space="preserve">The </w:t>
      </w:r>
      <w:r w:rsidR="00C57D8B" w:rsidRPr="001E2538">
        <w:rPr>
          <w:rFonts w:asciiTheme="minorHAnsi" w:hAnsiTheme="minorHAnsi" w:cstheme="minorHAnsi"/>
          <w:sz w:val="18"/>
          <w:szCs w:val="18"/>
        </w:rPr>
        <w:t>establishment of the Industrial Court</w:t>
      </w:r>
      <w:r w:rsidR="00904504" w:rsidRPr="001E2538">
        <w:rPr>
          <w:rFonts w:asciiTheme="minorHAnsi" w:hAnsiTheme="minorHAnsi" w:cstheme="minorHAnsi"/>
          <w:sz w:val="18"/>
          <w:szCs w:val="18"/>
        </w:rPr>
        <w:t xml:space="preserve"> was a significant political achievement. It</w:t>
      </w:r>
      <w:r w:rsidR="00C57D8B" w:rsidRPr="001E2538">
        <w:rPr>
          <w:rFonts w:asciiTheme="minorHAnsi" w:hAnsiTheme="minorHAnsi" w:cstheme="minorHAnsi"/>
          <w:sz w:val="18"/>
          <w:szCs w:val="18"/>
        </w:rPr>
        <w:t xml:space="preserve"> was widely reported in the press </w:t>
      </w:r>
      <w:r w:rsidR="00065978" w:rsidRPr="001E2538">
        <w:rPr>
          <w:rFonts w:asciiTheme="minorHAnsi" w:hAnsiTheme="minorHAnsi" w:cstheme="minorHAnsi"/>
          <w:sz w:val="18"/>
          <w:szCs w:val="18"/>
        </w:rPr>
        <w:t xml:space="preserve">(see </w:t>
      </w:r>
      <w:proofErr w:type="spellStart"/>
      <w:proofErr w:type="gramStart"/>
      <w:r w:rsidR="00065978" w:rsidRPr="001E2538">
        <w:rPr>
          <w:rFonts w:asciiTheme="minorHAnsi" w:hAnsiTheme="minorHAnsi" w:cstheme="minorHAnsi"/>
          <w:sz w:val="18"/>
          <w:szCs w:val="18"/>
        </w:rPr>
        <w:t>eg</w:t>
      </w:r>
      <w:proofErr w:type="spellEnd"/>
      <w:proofErr w:type="gramEnd"/>
      <w:r w:rsidR="00065978" w:rsidRPr="001E2538">
        <w:rPr>
          <w:rFonts w:asciiTheme="minorHAnsi" w:hAnsiTheme="minorHAnsi" w:cstheme="minorHAnsi"/>
          <w:sz w:val="18"/>
          <w:szCs w:val="18"/>
        </w:rPr>
        <w:t xml:space="preserve"> ‘First Industrial Court’ </w:t>
      </w:r>
      <w:r w:rsidR="00065978" w:rsidRPr="001E2538">
        <w:rPr>
          <w:rFonts w:asciiTheme="minorHAnsi" w:hAnsiTheme="minorHAnsi" w:cstheme="minorHAnsi"/>
          <w:i/>
          <w:iCs/>
          <w:sz w:val="18"/>
          <w:szCs w:val="18"/>
        </w:rPr>
        <w:t xml:space="preserve">The Daily Mail </w:t>
      </w:r>
      <w:r w:rsidR="00065978" w:rsidRPr="001E2538">
        <w:rPr>
          <w:rFonts w:asciiTheme="minorHAnsi" w:hAnsiTheme="minorHAnsi" w:cstheme="minorHAnsi"/>
          <w:sz w:val="18"/>
          <w:szCs w:val="18"/>
        </w:rPr>
        <w:t xml:space="preserve">6 December 1919; ‘Standing Industrial Court’ </w:t>
      </w:r>
      <w:r w:rsidR="00065978" w:rsidRPr="001E2538">
        <w:rPr>
          <w:rFonts w:asciiTheme="minorHAnsi" w:hAnsiTheme="minorHAnsi" w:cstheme="minorHAnsi"/>
          <w:i/>
          <w:iCs/>
          <w:sz w:val="18"/>
          <w:szCs w:val="18"/>
        </w:rPr>
        <w:t>The Manchester Guardian</w:t>
      </w:r>
      <w:r w:rsidR="00065978" w:rsidRPr="001E2538">
        <w:rPr>
          <w:rFonts w:asciiTheme="minorHAnsi" w:hAnsiTheme="minorHAnsi" w:cstheme="minorHAnsi"/>
          <w:sz w:val="18"/>
          <w:szCs w:val="18"/>
        </w:rPr>
        <w:t xml:space="preserve"> 6 December 1919; ‘Stores Strike Settled: First Case for New Industrial Court’ </w:t>
      </w:r>
      <w:r w:rsidR="00065978" w:rsidRPr="001E2538">
        <w:rPr>
          <w:rFonts w:asciiTheme="minorHAnsi" w:hAnsiTheme="minorHAnsi" w:cstheme="minorHAnsi"/>
          <w:i/>
          <w:iCs/>
          <w:sz w:val="18"/>
          <w:szCs w:val="18"/>
        </w:rPr>
        <w:t xml:space="preserve">The Observer </w:t>
      </w:r>
      <w:r w:rsidR="00065978" w:rsidRPr="001E2538">
        <w:rPr>
          <w:rFonts w:asciiTheme="minorHAnsi" w:hAnsiTheme="minorHAnsi" w:cstheme="minorHAnsi"/>
          <w:sz w:val="18"/>
          <w:szCs w:val="18"/>
        </w:rPr>
        <w:t xml:space="preserve">7 December 1919) </w:t>
      </w:r>
      <w:r w:rsidR="00C57D8B" w:rsidRPr="001E2538">
        <w:rPr>
          <w:rFonts w:asciiTheme="minorHAnsi" w:hAnsiTheme="minorHAnsi" w:cstheme="minorHAnsi"/>
          <w:sz w:val="18"/>
          <w:szCs w:val="18"/>
        </w:rPr>
        <w:t>and</w:t>
      </w:r>
      <w:r w:rsidR="00065978" w:rsidRPr="001E2538">
        <w:rPr>
          <w:rFonts w:asciiTheme="minorHAnsi" w:hAnsiTheme="minorHAnsi" w:cstheme="minorHAnsi"/>
          <w:sz w:val="18"/>
          <w:szCs w:val="18"/>
        </w:rPr>
        <w:t xml:space="preserve"> was</w:t>
      </w:r>
      <w:r w:rsidR="00C57D8B" w:rsidRPr="001E2538">
        <w:rPr>
          <w:rFonts w:asciiTheme="minorHAnsi" w:hAnsiTheme="minorHAnsi" w:cstheme="minorHAnsi"/>
          <w:sz w:val="18"/>
          <w:szCs w:val="18"/>
        </w:rPr>
        <w:t xml:space="preserve"> mentioned in the King’s speech to </w:t>
      </w:r>
      <w:r w:rsidR="00065978" w:rsidRPr="001E2538">
        <w:rPr>
          <w:rFonts w:asciiTheme="minorHAnsi" w:hAnsiTheme="minorHAnsi" w:cstheme="minorHAnsi"/>
          <w:sz w:val="18"/>
          <w:szCs w:val="18"/>
        </w:rPr>
        <w:t>the House of Commons for the prorogation of Parliament</w:t>
      </w:r>
      <w:r w:rsidR="00C57D8B" w:rsidRPr="001E2538">
        <w:rPr>
          <w:rFonts w:asciiTheme="minorHAnsi" w:hAnsiTheme="minorHAnsi" w:cstheme="minorHAnsi"/>
          <w:sz w:val="18"/>
          <w:szCs w:val="18"/>
        </w:rPr>
        <w:t xml:space="preserve"> in December 1919 (</w:t>
      </w:r>
      <w:r w:rsidR="00C57D8B" w:rsidRPr="001E2538">
        <w:rPr>
          <w:rFonts w:asciiTheme="minorHAnsi" w:hAnsiTheme="minorHAnsi" w:cstheme="minorHAnsi"/>
          <w:i/>
          <w:iCs/>
          <w:sz w:val="18"/>
          <w:szCs w:val="18"/>
        </w:rPr>
        <w:t>The Times</w:t>
      </w:r>
      <w:r w:rsidR="00C57D8B" w:rsidRPr="001E2538">
        <w:rPr>
          <w:rFonts w:asciiTheme="minorHAnsi" w:hAnsiTheme="minorHAnsi" w:cstheme="minorHAnsi"/>
          <w:sz w:val="18"/>
          <w:szCs w:val="18"/>
        </w:rPr>
        <w:t xml:space="preserve">, 24 December 1919). </w:t>
      </w:r>
      <w:r w:rsidRPr="001E2538">
        <w:rPr>
          <w:rFonts w:asciiTheme="minorHAnsi" w:hAnsiTheme="minorHAnsi" w:cstheme="minorHAnsi"/>
          <w:sz w:val="18"/>
          <w:szCs w:val="18"/>
        </w:rPr>
        <w:t xml:space="preserve"> </w:t>
      </w:r>
    </w:p>
  </w:footnote>
  <w:footnote w:id="142">
    <w:p w14:paraId="5BE5BC75" w14:textId="308133E0" w:rsidR="007051FD" w:rsidRPr="001E2538" w:rsidRDefault="007051FD" w:rsidP="00E723E9">
      <w:pPr>
        <w:pStyle w:val="FootnoteText"/>
        <w:adjustRightInd w:val="0"/>
        <w:snapToGrid w:val="0"/>
        <w:rPr>
          <w:rFonts w:asciiTheme="minorHAnsi" w:hAnsiTheme="minorHAnsi" w:cstheme="minorHAnsi"/>
          <w:sz w:val="18"/>
          <w:szCs w:val="18"/>
        </w:rPr>
      </w:pPr>
      <w:r w:rsidRPr="001E2538">
        <w:rPr>
          <w:rStyle w:val="FootnoteReference"/>
          <w:rFonts w:asciiTheme="minorHAnsi" w:hAnsiTheme="minorHAnsi" w:cstheme="minorHAnsi"/>
          <w:sz w:val="18"/>
          <w:szCs w:val="18"/>
        </w:rPr>
        <w:footnoteRef/>
      </w:r>
      <w:r w:rsidRPr="001E2538">
        <w:rPr>
          <w:rFonts w:asciiTheme="minorHAnsi" w:hAnsiTheme="minorHAnsi" w:cstheme="minorHAnsi"/>
          <w:sz w:val="18"/>
          <w:szCs w:val="18"/>
        </w:rPr>
        <w:t xml:space="preserve"> </w:t>
      </w:r>
      <w:r w:rsidR="007E67F9" w:rsidRPr="001E2538">
        <w:rPr>
          <w:rFonts w:asciiTheme="minorHAnsi" w:hAnsiTheme="minorHAnsi" w:cstheme="minorHAnsi"/>
          <w:sz w:val="18"/>
          <w:szCs w:val="18"/>
        </w:rPr>
        <w:tab/>
      </w:r>
      <w:r w:rsidR="00C57D8B" w:rsidRPr="001E2538">
        <w:rPr>
          <w:rFonts w:asciiTheme="minorHAnsi" w:hAnsiTheme="minorHAnsi" w:cstheme="minorHAnsi"/>
          <w:sz w:val="18"/>
          <w:szCs w:val="18"/>
        </w:rPr>
        <w:t xml:space="preserve">Lady Hale was appointed to the Appellate Committee of the House of Lords in 2004 and became the first woman Justice of the Supreme Court in 2009, she was joined by Lady Black in October 2017. Since January 2022, </w:t>
      </w:r>
      <w:r w:rsidRPr="001E2538">
        <w:rPr>
          <w:rFonts w:asciiTheme="minorHAnsi" w:hAnsiTheme="minorHAnsi" w:cstheme="minorHAnsi"/>
          <w:sz w:val="18"/>
          <w:szCs w:val="18"/>
        </w:rPr>
        <w:t>Lady Rose</w:t>
      </w:r>
      <w:r w:rsidR="00C57D8B" w:rsidRPr="001E2538">
        <w:rPr>
          <w:rFonts w:asciiTheme="minorHAnsi" w:hAnsiTheme="minorHAnsi" w:cstheme="minorHAnsi"/>
          <w:sz w:val="18"/>
          <w:szCs w:val="18"/>
        </w:rPr>
        <w:t xml:space="preserve"> </w:t>
      </w:r>
      <w:r w:rsidRPr="001E2538">
        <w:rPr>
          <w:rFonts w:asciiTheme="minorHAnsi" w:hAnsiTheme="minorHAnsi" w:cstheme="minorHAnsi"/>
          <w:sz w:val="18"/>
          <w:szCs w:val="18"/>
        </w:rPr>
        <w:t>has been the only woman on the UK Supreme Court</w:t>
      </w:r>
      <w:r w:rsidR="00C57D8B" w:rsidRPr="001E2538">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CB2"/>
    <w:multiLevelType w:val="hybridMultilevel"/>
    <w:tmpl w:val="CA3E2B12"/>
    <w:lvl w:ilvl="0" w:tplc="C438120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A21AA9"/>
    <w:multiLevelType w:val="hybridMultilevel"/>
    <w:tmpl w:val="FEE408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640C77"/>
    <w:multiLevelType w:val="hybridMultilevel"/>
    <w:tmpl w:val="62781A72"/>
    <w:lvl w:ilvl="0" w:tplc="EF2637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7144AB"/>
    <w:multiLevelType w:val="hybridMultilevel"/>
    <w:tmpl w:val="F6CED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7957A7"/>
    <w:multiLevelType w:val="hybridMultilevel"/>
    <w:tmpl w:val="BA06E7FE"/>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78530">
    <w:abstractNumId w:val="3"/>
  </w:num>
  <w:num w:numId="2" w16cid:durableId="2003847996">
    <w:abstractNumId w:val="2"/>
  </w:num>
  <w:num w:numId="3" w16cid:durableId="1093890783">
    <w:abstractNumId w:val="1"/>
  </w:num>
  <w:num w:numId="4" w16cid:durableId="1734809413">
    <w:abstractNumId w:val="0"/>
  </w:num>
  <w:num w:numId="5" w16cid:durableId="1442920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35"/>
    <w:rsid w:val="000034AF"/>
    <w:rsid w:val="00003BE8"/>
    <w:rsid w:val="00011D88"/>
    <w:rsid w:val="0002057B"/>
    <w:rsid w:val="0002152A"/>
    <w:rsid w:val="00022254"/>
    <w:rsid w:val="00024545"/>
    <w:rsid w:val="00041440"/>
    <w:rsid w:val="00047829"/>
    <w:rsid w:val="0005006C"/>
    <w:rsid w:val="00053859"/>
    <w:rsid w:val="00060A2F"/>
    <w:rsid w:val="00060FE5"/>
    <w:rsid w:val="00061D17"/>
    <w:rsid w:val="00065978"/>
    <w:rsid w:val="00073DF3"/>
    <w:rsid w:val="000767C9"/>
    <w:rsid w:val="0007767F"/>
    <w:rsid w:val="00080531"/>
    <w:rsid w:val="000829FD"/>
    <w:rsid w:val="000903F8"/>
    <w:rsid w:val="00090429"/>
    <w:rsid w:val="00094A70"/>
    <w:rsid w:val="000A1EB8"/>
    <w:rsid w:val="000A42BF"/>
    <w:rsid w:val="000A5D80"/>
    <w:rsid w:val="000B11B7"/>
    <w:rsid w:val="000C04E7"/>
    <w:rsid w:val="000C4C1A"/>
    <w:rsid w:val="000C64D0"/>
    <w:rsid w:val="000C65F8"/>
    <w:rsid w:val="000D3787"/>
    <w:rsid w:val="000D7110"/>
    <w:rsid w:val="000E557B"/>
    <w:rsid w:val="000E5CF6"/>
    <w:rsid w:val="000E79D2"/>
    <w:rsid w:val="000F40F9"/>
    <w:rsid w:val="00104A27"/>
    <w:rsid w:val="001053BA"/>
    <w:rsid w:val="00105EAF"/>
    <w:rsid w:val="00110BD9"/>
    <w:rsid w:val="00110FA8"/>
    <w:rsid w:val="00120914"/>
    <w:rsid w:val="00120E67"/>
    <w:rsid w:val="00122115"/>
    <w:rsid w:val="0012310A"/>
    <w:rsid w:val="00124C4F"/>
    <w:rsid w:val="00125682"/>
    <w:rsid w:val="0012658D"/>
    <w:rsid w:val="00126B32"/>
    <w:rsid w:val="0013003E"/>
    <w:rsid w:val="00132DFB"/>
    <w:rsid w:val="00132E6F"/>
    <w:rsid w:val="0013549F"/>
    <w:rsid w:val="00136E46"/>
    <w:rsid w:val="001404EF"/>
    <w:rsid w:val="00140CDD"/>
    <w:rsid w:val="00150F75"/>
    <w:rsid w:val="001568A3"/>
    <w:rsid w:val="00163FCE"/>
    <w:rsid w:val="00166B2A"/>
    <w:rsid w:val="00174695"/>
    <w:rsid w:val="001807F0"/>
    <w:rsid w:val="00185071"/>
    <w:rsid w:val="001935C9"/>
    <w:rsid w:val="00193904"/>
    <w:rsid w:val="00197C56"/>
    <w:rsid w:val="001A68CD"/>
    <w:rsid w:val="001B05EE"/>
    <w:rsid w:val="001B619F"/>
    <w:rsid w:val="001B6B22"/>
    <w:rsid w:val="001C382F"/>
    <w:rsid w:val="001C5DD4"/>
    <w:rsid w:val="001E19A6"/>
    <w:rsid w:val="001E1E17"/>
    <w:rsid w:val="001E2538"/>
    <w:rsid w:val="001E7C20"/>
    <w:rsid w:val="001F2AE3"/>
    <w:rsid w:val="001F4924"/>
    <w:rsid w:val="001F5034"/>
    <w:rsid w:val="001F7A47"/>
    <w:rsid w:val="00201B0E"/>
    <w:rsid w:val="00203835"/>
    <w:rsid w:val="00211A38"/>
    <w:rsid w:val="002134F6"/>
    <w:rsid w:val="00214507"/>
    <w:rsid w:val="00220950"/>
    <w:rsid w:val="002227BE"/>
    <w:rsid w:val="0023054C"/>
    <w:rsid w:val="0023172E"/>
    <w:rsid w:val="0023179F"/>
    <w:rsid w:val="00231BFB"/>
    <w:rsid w:val="00233602"/>
    <w:rsid w:val="00240607"/>
    <w:rsid w:val="00241A78"/>
    <w:rsid w:val="00243BAF"/>
    <w:rsid w:val="00244361"/>
    <w:rsid w:val="00247D8E"/>
    <w:rsid w:val="00254461"/>
    <w:rsid w:val="00255E6C"/>
    <w:rsid w:val="0025727E"/>
    <w:rsid w:val="002609A3"/>
    <w:rsid w:val="00261370"/>
    <w:rsid w:val="002618B0"/>
    <w:rsid w:val="00266FC9"/>
    <w:rsid w:val="002705DA"/>
    <w:rsid w:val="00271448"/>
    <w:rsid w:val="002726CB"/>
    <w:rsid w:val="002729A1"/>
    <w:rsid w:val="0027537B"/>
    <w:rsid w:val="00275F05"/>
    <w:rsid w:val="00276C22"/>
    <w:rsid w:val="00280403"/>
    <w:rsid w:val="00280C4D"/>
    <w:rsid w:val="002842F8"/>
    <w:rsid w:val="00287AED"/>
    <w:rsid w:val="00291F89"/>
    <w:rsid w:val="00292719"/>
    <w:rsid w:val="00294A2F"/>
    <w:rsid w:val="0029757C"/>
    <w:rsid w:val="002A08A8"/>
    <w:rsid w:val="002A4CA3"/>
    <w:rsid w:val="002A5E3B"/>
    <w:rsid w:val="002A7BB7"/>
    <w:rsid w:val="002B5DC4"/>
    <w:rsid w:val="002C14D0"/>
    <w:rsid w:val="002C34EB"/>
    <w:rsid w:val="002C61E7"/>
    <w:rsid w:val="002D24B7"/>
    <w:rsid w:val="002D2AC2"/>
    <w:rsid w:val="002D5203"/>
    <w:rsid w:val="002D7CB1"/>
    <w:rsid w:val="002E0BDE"/>
    <w:rsid w:val="002E3BBB"/>
    <w:rsid w:val="002E4878"/>
    <w:rsid w:val="002E4F87"/>
    <w:rsid w:val="002E5D2E"/>
    <w:rsid w:val="002E70E7"/>
    <w:rsid w:val="002F0AF7"/>
    <w:rsid w:val="002F6C1A"/>
    <w:rsid w:val="0030064C"/>
    <w:rsid w:val="0030300E"/>
    <w:rsid w:val="003118C0"/>
    <w:rsid w:val="003165B8"/>
    <w:rsid w:val="003334E8"/>
    <w:rsid w:val="00336FB7"/>
    <w:rsid w:val="00341329"/>
    <w:rsid w:val="0034496E"/>
    <w:rsid w:val="003450D9"/>
    <w:rsid w:val="003464DD"/>
    <w:rsid w:val="00347478"/>
    <w:rsid w:val="003529CE"/>
    <w:rsid w:val="00356F07"/>
    <w:rsid w:val="003738E5"/>
    <w:rsid w:val="00376D93"/>
    <w:rsid w:val="0037760F"/>
    <w:rsid w:val="00384739"/>
    <w:rsid w:val="00386CB1"/>
    <w:rsid w:val="00396273"/>
    <w:rsid w:val="003971D7"/>
    <w:rsid w:val="00397606"/>
    <w:rsid w:val="003A1628"/>
    <w:rsid w:val="003A5D4E"/>
    <w:rsid w:val="003B1370"/>
    <w:rsid w:val="003B1A4A"/>
    <w:rsid w:val="003C5057"/>
    <w:rsid w:val="003C74CD"/>
    <w:rsid w:val="003C7FDF"/>
    <w:rsid w:val="003D10D8"/>
    <w:rsid w:val="003D11F2"/>
    <w:rsid w:val="003D4158"/>
    <w:rsid w:val="003D49F5"/>
    <w:rsid w:val="003D5F4B"/>
    <w:rsid w:val="003E0741"/>
    <w:rsid w:val="003E0C3C"/>
    <w:rsid w:val="003E23F3"/>
    <w:rsid w:val="003E5838"/>
    <w:rsid w:val="003E59D5"/>
    <w:rsid w:val="003F5BF0"/>
    <w:rsid w:val="003F600A"/>
    <w:rsid w:val="004006A8"/>
    <w:rsid w:val="00402743"/>
    <w:rsid w:val="004057DE"/>
    <w:rsid w:val="00412B90"/>
    <w:rsid w:val="00423833"/>
    <w:rsid w:val="00423974"/>
    <w:rsid w:val="00425731"/>
    <w:rsid w:val="00425ED1"/>
    <w:rsid w:val="00430EA3"/>
    <w:rsid w:val="004438EC"/>
    <w:rsid w:val="00445C69"/>
    <w:rsid w:val="004522A1"/>
    <w:rsid w:val="004576F3"/>
    <w:rsid w:val="0045786C"/>
    <w:rsid w:val="004633F7"/>
    <w:rsid w:val="0048257F"/>
    <w:rsid w:val="0048338F"/>
    <w:rsid w:val="004841B4"/>
    <w:rsid w:val="00484917"/>
    <w:rsid w:val="00487E5B"/>
    <w:rsid w:val="00492A72"/>
    <w:rsid w:val="004A30CB"/>
    <w:rsid w:val="004A4678"/>
    <w:rsid w:val="004A5BA7"/>
    <w:rsid w:val="004B1855"/>
    <w:rsid w:val="004B3A3E"/>
    <w:rsid w:val="004B486B"/>
    <w:rsid w:val="004B4885"/>
    <w:rsid w:val="004B4C3F"/>
    <w:rsid w:val="004B7F4E"/>
    <w:rsid w:val="004C7399"/>
    <w:rsid w:val="004D0BA3"/>
    <w:rsid w:val="004D12EC"/>
    <w:rsid w:val="004D1BAB"/>
    <w:rsid w:val="004D40AA"/>
    <w:rsid w:val="004D47E6"/>
    <w:rsid w:val="004D660F"/>
    <w:rsid w:val="004E20C8"/>
    <w:rsid w:val="004E53EE"/>
    <w:rsid w:val="004E73BD"/>
    <w:rsid w:val="004E7625"/>
    <w:rsid w:val="004F7A5E"/>
    <w:rsid w:val="00501366"/>
    <w:rsid w:val="00502666"/>
    <w:rsid w:val="00503A61"/>
    <w:rsid w:val="00507B62"/>
    <w:rsid w:val="005104C9"/>
    <w:rsid w:val="00514C31"/>
    <w:rsid w:val="00527421"/>
    <w:rsid w:val="005274A9"/>
    <w:rsid w:val="00537FE2"/>
    <w:rsid w:val="005411FB"/>
    <w:rsid w:val="00542562"/>
    <w:rsid w:val="00544CB6"/>
    <w:rsid w:val="0055006E"/>
    <w:rsid w:val="005634D6"/>
    <w:rsid w:val="00565647"/>
    <w:rsid w:val="00567189"/>
    <w:rsid w:val="00580143"/>
    <w:rsid w:val="00580916"/>
    <w:rsid w:val="00583EB0"/>
    <w:rsid w:val="00587FC5"/>
    <w:rsid w:val="00595CB5"/>
    <w:rsid w:val="0059765E"/>
    <w:rsid w:val="005A0629"/>
    <w:rsid w:val="005A064C"/>
    <w:rsid w:val="005A1EA8"/>
    <w:rsid w:val="005A4EF0"/>
    <w:rsid w:val="005A57FB"/>
    <w:rsid w:val="005B58D4"/>
    <w:rsid w:val="005C028A"/>
    <w:rsid w:val="005C2F75"/>
    <w:rsid w:val="005C5D09"/>
    <w:rsid w:val="005C67AA"/>
    <w:rsid w:val="005C7AC3"/>
    <w:rsid w:val="005D132E"/>
    <w:rsid w:val="005D3E8B"/>
    <w:rsid w:val="005E124F"/>
    <w:rsid w:val="005E5B3D"/>
    <w:rsid w:val="005E5E15"/>
    <w:rsid w:val="005E6B63"/>
    <w:rsid w:val="005F3104"/>
    <w:rsid w:val="005F75B4"/>
    <w:rsid w:val="00604E6B"/>
    <w:rsid w:val="00605578"/>
    <w:rsid w:val="00605F2C"/>
    <w:rsid w:val="00613AC7"/>
    <w:rsid w:val="00616BC0"/>
    <w:rsid w:val="00617258"/>
    <w:rsid w:val="00626901"/>
    <w:rsid w:val="00627FF3"/>
    <w:rsid w:val="006306D5"/>
    <w:rsid w:val="00631F39"/>
    <w:rsid w:val="00633250"/>
    <w:rsid w:val="006333FC"/>
    <w:rsid w:val="0063488F"/>
    <w:rsid w:val="00635388"/>
    <w:rsid w:val="00644EDF"/>
    <w:rsid w:val="00645C23"/>
    <w:rsid w:val="00650E42"/>
    <w:rsid w:val="006560B9"/>
    <w:rsid w:val="00661CCE"/>
    <w:rsid w:val="00662083"/>
    <w:rsid w:val="00664936"/>
    <w:rsid w:val="00666C9B"/>
    <w:rsid w:val="006760C8"/>
    <w:rsid w:val="00680521"/>
    <w:rsid w:val="0068063C"/>
    <w:rsid w:val="00684CBD"/>
    <w:rsid w:val="00684D4C"/>
    <w:rsid w:val="00687175"/>
    <w:rsid w:val="00690C02"/>
    <w:rsid w:val="00691A26"/>
    <w:rsid w:val="006929F9"/>
    <w:rsid w:val="00694502"/>
    <w:rsid w:val="00695ABF"/>
    <w:rsid w:val="00695EB2"/>
    <w:rsid w:val="006A0961"/>
    <w:rsid w:val="006A11B6"/>
    <w:rsid w:val="006A76CD"/>
    <w:rsid w:val="006B1356"/>
    <w:rsid w:val="006B2959"/>
    <w:rsid w:val="006B42D5"/>
    <w:rsid w:val="006C0DCA"/>
    <w:rsid w:val="006C15E3"/>
    <w:rsid w:val="006C2520"/>
    <w:rsid w:val="006C2E6F"/>
    <w:rsid w:val="006C7098"/>
    <w:rsid w:val="006C79C4"/>
    <w:rsid w:val="006D3A20"/>
    <w:rsid w:val="006D3A5E"/>
    <w:rsid w:val="006D6499"/>
    <w:rsid w:val="006E3D2A"/>
    <w:rsid w:val="006F20BA"/>
    <w:rsid w:val="006F7509"/>
    <w:rsid w:val="00701346"/>
    <w:rsid w:val="00703F32"/>
    <w:rsid w:val="00704782"/>
    <w:rsid w:val="007050BF"/>
    <w:rsid w:val="007051FD"/>
    <w:rsid w:val="00717007"/>
    <w:rsid w:val="00717215"/>
    <w:rsid w:val="00717F56"/>
    <w:rsid w:val="00730802"/>
    <w:rsid w:val="00730BF7"/>
    <w:rsid w:val="00732A25"/>
    <w:rsid w:val="0073774D"/>
    <w:rsid w:val="007441C7"/>
    <w:rsid w:val="0075224E"/>
    <w:rsid w:val="00764159"/>
    <w:rsid w:val="007663B2"/>
    <w:rsid w:val="00770DFB"/>
    <w:rsid w:val="007748CF"/>
    <w:rsid w:val="00774A79"/>
    <w:rsid w:val="00775196"/>
    <w:rsid w:val="00775B56"/>
    <w:rsid w:val="00777FA9"/>
    <w:rsid w:val="00781689"/>
    <w:rsid w:val="00784101"/>
    <w:rsid w:val="00784BF0"/>
    <w:rsid w:val="00785480"/>
    <w:rsid w:val="00787483"/>
    <w:rsid w:val="00792A57"/>
    <w:rsid w:val="007942BD"/>
    <w:rsid w:val="007944ED"/>
    <w:rsid w:val="00795DCC"/>
    <w:rsid w:val="007A20C5"/>
    <w:rsid w:val="007B0921"/>
    <w:rsid w:val="007B4FA9"/>
    <w:rsid w:val="007B6AD4"/>
    <w:rsid w:val="007B7F77"/>
    <w:rsid w:val="007C59C5"/>
    <w:rsid w:val="007C62E9"/>
    <w:rsid w:val="007D00EF"/>
    <w:rsid w:val="007D2400"/>
    <w:rsid w:val="007D4E11"/>
    <w:rsid w:val="007E2149"/>
    <w:rsid w:val="007E67F9"/>
    <w:rsid w:val="007F4F2E"/>
    <w:rsid w:val="00803985"/>
    <w:rsid w:val="008143F5"/>
    <w:rsid w:val="00822D9C"/>
    <w:rsid w:val="0082661E"/>
    <w:rsid w:val="00841263"/>
    <w:rsid w:val="00846AEC"/>
    <w:rsid w:val="00866C09"/>
    <w:rsid w:val="00876E7D"/>
    <w:rsid w:val="008803BC"/>
    <w:rsid w:val="00881897"/>
    <w:rsid w:val="00884104"/>
    <w:rsid w:val="008859CF"/>
    <w:rsid w:val="0088780A"/>
    <w:rsid w:val="008900CE"/>
    <w:rsid w:val="00892AE5"/>
    <w:rsid w:val="00895641"/>
    <w:rsid w:val="008A1706"/>
    <w:rsid w:val="008A1E51"/>
    <w:rsid w:val="008A415E"/>
    <w:rsid w:val="008A4DB8"/>
    <w:rsid w:val="008A5A3D"/>
    <w:rsid w:val="008A7627"/>
    <w:rsid w:val="008B13BF"/>
    <w:rsid w:val="008B63DF"/>
    <w:rsid w:val="008C3530"/>
    <w:rsid w:val="008C46B5"/>
    <w:rsid w:val="008C5F32"/>
    <w:rsid w:val="008D0676"/>
    <w:rsid w:val="008D1B87"/>
    <w:rsid w:val="008D3584"/>
    <w:rsid w:val="008D5210"/>
    <w:rsid w:val="008D767D"/>
    <w:rsid w:val="008E3015"/>
    <w:rsid w:val="008E7E42"/>
    <w:rsid w:val="008E7F00"/>
    <w:rsid w:val="008F0010"/>
    <w:rsid w:val="008F6964"/>
    <w:rsid w:val="00902F72"/>
    <w:rsid w:val="00904504"/>
    <w:rsid w:val="0090564B"/>
    <w:rsid w:val="00906707"/>
    <w:rsid w:val="00911081"/>
    <w:rsid w:val="009136A4"/>
    <w:rsid w:val="009149DB"/>
    <w:rsid w:val="0091741D"/>
    <w:rsid w:val="00917773"/>
    <w:rsid w:val="00921FA3"/>
    <w:rsid w:val="00923DBC"/>
    <w:rsid w:val="0093122E"/>
    <w:rsid w:val="00943DF2"/>
    <w:rsid w:val="00945010"/>
    <w:rsid w:val="00945543"/>
    <w:rsid w:val="00953F60"/>
    <w:rsid w:val="00961676"/>
    <w:rsid w:val="009632EB"/>
    <w:rsid w:val="00966458"/>
    <w:rsid w:val="00966994"/>
    <w:rsid w:val="00970B5D"/>
    <w:rsid w:val="00975440"/>
    <w:rsid w:val="009868B0"/>
    <w:rsid w:val="00986DC7"/>
    <w:rsid w:val="009906C0"/>
    <w:rsid w:val="009913EA"/>
    <w:rsid w:val="00991AAE"/>
    <w:rsid w:val="00995760"/>
    <w:rsid w:val="009959D0"/>
    <w:rsid w:val="00995B2C"/>
    <w:rsid w:val="00996D8D"/>
    <w:rsid w:val="009A313D"/>
    <w:rsid w:val="009A33D8"/>
    <w:rsid w:val="009A4952"/>
    <w:rsid w:val="009A6D01"/>
    <w:rsid w:val="009A765C"/>
    <w:rsid w:val="009B6722"/>
    <w:rsid w:val="009D0C32"/>
    <w:rsid w:val="009D2FD0"/>
    <w:rsid w:val="009D320D"/>
    <w:rsid w:val="009D4322"/>
    <w:rsid w:val="009E0397"/>
    <w:rsid w:val="009E4258"/>
    <w:rsid w:val="009F43FE"/>
    <w:rsid w:val="009F6E56"/>
    <w:rsid w:val="009F7D89"/>
    <w:rsid w:val="00A00EE9"/>
    <w:rsid w:val="00A02D7B"/>
    <w:rsid w:val="00A02E85"/>
    <w:rsid w:val="00A07AE2"/>
    <w:rsid w:val="00A07B52"/>
    <w:rsid w:val="00A16FAF"/>
    <w:rsid w:val="00A17E2B"/>
    <w:rsid w:val="00A2100A"/>
    <w:rsid w:val="00A23299"/>
    <w:rsid w:val="00A34DFA"/>
    <w:rsid w:val="00A51F5C"/>
    <w:rsid w:val="00A522B0"/>
    <w:rsid w:val="00A52F87"/>
    <w:rsid w:val="00A55895"/>
    <w:rsid w:val="00A60C72"/>
    <w:rsid w:val="00A65DA0"/>
    <w:rsid w:val="00A7145C"/>
    <w:rsid w:val="00A71BC0"/>
    <w:rsid w:val="00A7314B"/>
    <w:rsid w:val="00A7471C"/>
    <w:rsid w:val="00A74B4A"/>
    <w:rsid w:val="00A771AF"/>
    <w:rsid w:val="00A8331C"/>
    <w:rsid w:val="00A839F9"/>
    <w:rsid w:val="00A935E9"/>
    <w:rsid w:val="00A937D8"/>
    <w:rsid w:val="00A97A1E"/>
    <w:rsid w:val="00AA1305"/>
    <w:rsid w:val="00AB2337"/>
    <w:rsid w:val="00AB3702"/>
    <w:rsid w:val="00AC0B70"/>
    <w:rsid w:val="00AC2142"/>
    <w:rsid w:val="00AD3749"/>
    <w:rsid w:val="00AE3877"/>
    <w:rsid w:val="00AE4140"/>
    <w:rsid w:val="00AE5454"/>
    <w:rsid w:val="00AE6AFD"/>
    <w:rsid w:val="00AF0BC5"/>
    <w:rsid w:val="00AF1CEB"/>
    <w:rsid w:val="00AF677D"/>
    <w:rsid w:val="00AF7F71"/>
    <w:rsid w:val="00B01029"/>
    <w:rsid w:val="00B04383"/>
    <w:rsid w:val="00B05BD8"/>
    <w:rsid w:val="00B10373"/>
    <w:rsid w:val="00B113CC"/>
    <w:rsid w:val="00B144F7"/>
    <w:rsid w:val="00B203DA"/>
    <w:rsid w:val="00B207BD"/>
    <w:rsid w:val="00B2381F"/>
    <w:rsid w:val="00B23BCF"/>
    <w:rsid w:val="00B25D42"/>
    <w:rsid w:val="00B302AC"/>
    <w:rsid w:val="00B319DA"/>
    <w:rsid w:val="00B35815"/>
    <w:rsid w:val="00B47AF7"/>
    <w:rsid w:val="00B51CDF"/>
    <w:rsid w:val="00B52970"/>
    <w:rsid w:val="00B64F48"/>
    <w:rsid w:val="00B66435"/>
    <w:rsid w:val="00B7309B"/>
    <w:rsid w:val="00B732B2"/>
    <w:rsid w:val="00B749C5"/>
    <w:rsid w:val="00B74A52"/>
    <w:rsid w:val="00B76937"/>
    <w:rsid w:val="00B81EAE"/>
    <w:rsid w:val="00B86F92"/>
    <w:rsid w:val="00B96B96"/>
    <w:rsid w:val="00BA09ED"/>
    <w:rsid w:val="00BB2119"/>
    <w:rsid w:val="00BB25E1"/>
    <w:rsid w:val="00BB7A3C"/>
    <w:rsid w:val="00BD340B"/>
    <w:rsid w:val="00BD3A80"/>
    <w:rsid w:val="00BE1063"/>
    <w:rsid w:val="00BE19C5"/>
    <w:rsid w:val="00BE1BE9"/>
    <w:rsid w:val="00BE6618"/>
    <w:rsid w:val="00BF3E2A"/>
    <w:rsid w:val="00C0372D"/>
    <w:rsid w:val="00C1191E"/>
    <w:rsid w:val="00C140E4"/>
    <w:rsid w:val="00C16F4E"/>
    <w:rsid w:val="00C20FBD"/>
    <w:rsid w:val="00C278FB"/>
    <w:rsid w:val="00C31D48"/>
    <w:rsid w:val="00C322D7"/>
    <w:rsid w:val="00C34623"/>
    <w:rsid w:val="00C35FA9"/>
    <w:rsid w:val="00C42470"/>
    <w:rsid w:val="00C45AFF"/>
    <w:rsid w:val="00C5155A"/>
    <w:rsid w:val="00C53C3B"/>
    <w:rsid w:val="00C54B8E"/>
    <w:rsid w:val="00C55182"/>
    <w:rsid w:val="00C55665"/>
    <w:rsid w:val="00C57D8B"/>
    <w:rsid w:val="00C601BF"/>
    <w:rsid w:val="00C61C0E"/>
    <w:rsid w:val="00C83BE8"/>
    <w:rsid w:val="00C865A6"/>
    <w:rsid w:val="00C90514"/>
    <w:rsid w:val="00C92972"/>
    <w:rsid w:val="00C967D2"/>
    <w:rsid w:val="00C97252"/>
    <w:rsid w:val="00CA3E7F"/>
    <w:rsid w:val="00CA78D5"/>
    <w:rsid w:val="00CB2ABB"/>
    <w:rsid w:val="00CC457B"/>
    <w:rsid w:val="00CC57B7"/>
    <w:rsid w:val="00CE253A"/>
    <w:rsid w:val="00CE679C"/>
    <w:rsid w:val="00CF0AAE"/>
    <w:rsid w:val="00CF3162"/>
    <w:rsid w:val="00CF4E35"/>
    <w:rsid w:val="00CF6FF6"/>
    <w:rsid w:val="00D029FF"/>
    <w:rsid w:val="00D06AD7"/>
    <w:rsid w:val="00D16656"/>
    <w:rsid w:val="00D20082"/>
    <w:rsid w:val="00D25590"/>
    <w:rsid w:val="00D26CCA"/>
    <w:rsid w:val="00D32C81"/>
    <w:rsid w:val="00D36CA7"/>
    <w:rsid w:val="00D40BE1"/>
    <w:rsid w:val="00D4616C"/>
    <w:rsid w:val="00D46F57"/>
    <w:rsid w:val="00D54265"/>
    <w:rsid w:val="00D549F3"/>
    <w:rsid w:val="00D55953"/>
    <w:rsid w:val="00D55C23"/>
    <w:rsid w:val="00D57B8B"/>
    <w:rsid w:val="00D60129"/>
    <w:rsid w:val="00D64626"/>
    <w:rsid w:val="00D65D02"/>
    <w:rsid w:val="00D678DD"/>
    <w:rsid w:val="00D71AE7"/>
    <w:rsid w:val="00D71F4E"/>
    <w:rsid w:val="00D76A6D"/>
    <w:rsid w:val="00D82555"/>
    <w:rsid w:val="00D86401"/>
    <w:rsid w:val="00D876B8"/>
    <w:rsid w:val="00D93D89"/>
    <w:rsid w:val="00D967B3"/>
    <w:rsid w:val="00D97BD8"/>
    <w:rsid w:val="00DA2DE3"/>
    <w:rsid w:val="00DA3F82"/>
    <w:rsid w:val="00DA4C68"/>
    <w:rsid w:val="00DB625F"/>
    <w:rsid w:val="00DB7158"/>
    <w:rsid w:val="00DC17B5"/>
    <w:rsid w:val="00DC5DE7"/>
    <w:rsid w:val="00DD33CE"/>
    <w:rsid w:val="00DE233F"/>
    <w:rsid w:val="00DE422C"/>
    <w:rsid w:val="00DF27C4"/>
    <w:rsid w:val="00DF334C"/>
    <w:rsid w:val="00DF34D8"/>
    <w:rsid w:val="00DF4C18"/>
    <w:rsid w:val="00E00A5E"/>
    <w:rsid w:val="00E06581"/>
    <w:rsid w:val="00E07115"/>
    <w:rsid w:val="00E12B5C"/>
    <w:rsid w:val="00E1541A"/>
    <w:rsid w:val="00E211DD"/>
    <w:rsid w:val="00E21CA5"/>
    <w:rsid w:val="00E2479F"/>
    <w:rsid w:val="00E25059"/>
    <w:rsid w:val="00E27024"/>
    <w:rsid w:val="00E367AB"/>
    <w:rsid w:val="00E374E0"/>
    <w:rsid w:val="00E4028F"/>
    <w:rsid w:val="00E43C50"/>
    <w:rsid w:val="00E46498"/>
    <w:rsid w:val="00E5028D"/>
    <w:rsid w:val="00E5135C"/>
    <w:rsid w:val="00E60494"/>
    <w:rsid w:val="00E633EF"/>
    <w:rsid w:val="00E64A4D"/>
    <w:rsid w:val="00E65F91"/>
    <w:rsid w:val="00E723E9"/>
    <w:rsid w:val="00E73211"/>
    <w:rsid w:val="00E80E0E"/>
    <w:rsid w:val="00E8681A"/>
    <w:rsid w:val="00EA5875"/>
    <w:rsid w:val="00EA6FD3"/>
    <w:rsid w:val="00EA7A1B"/>
    <w:rsid w:val="00EB2022"/>
    <w:rsid w:val="00EB2C1B"/>
    <w:rsid w:val="00EB4C2E"/>
    <w:rsid w:val="00EB6F1D"/>
    <w:rsid w:val="00EB7AD4"/>
    <w:rsid w:val="00EC0218"/>
    <w:rsid w:val="00EC1AF6"/>
    <w:rsid w:val="00EC3858"/>
    <w:rsid w:val="00EC7C85"/>
    <w:rsid w:val="00ED26FD"/>
    <w:rsid w:val="00ED6956"/>
    <w:rsid w:val="00ED6FA2"/>
    <w:rsid w:val="00ED713B"/>
    <w:rsid w:val="00EE0476"/>
    <w:rsid w:val="00EE5C67"/>
    <w:rsid w:val="00EE6EA1"/>
    <w:rsid w:val="00EF3EE9"/>
    <w:rsid w:val="00EF7D9F"/>
    <w:rsid w:val="00F0240A"/>
    <w:rsid w:val="00F02CBC"/>
    <w:rsid w:val="00F143F7"/>
    <w:rsid w:val="00F1715A"/>
    <w:rsid w:val="00F17E52"/>
    <w:rsid w:val="00F215FC"/>
    <w:rsid w:val="00F21A5C"/>
    <w:rsid w:val="00F32CA0"/>
    <w:rsid w:val="00F361AC"/>
    <w:rsid w:val="00F36A79"/>
    <w:rsid w:val="00F5154A"/>
    <w:rsid w:val="00F5290C"/>
    <w:rsid w:val="00F5577C"/>
    <w:rsid w:val="00F6033B"/>
    <w:rsid w:val="00F72CCD"/>
    <w:rsid w:val="00F770DA"/>
    <w:rsid w:val="00F808D9"/>
    <w:rsid w:val="00F80EE4"/>
    <w:rsid w:val="00F82118"/>
    <w:rsid w:val="00F829DD"/>
    <w:rsid w:val="00F8400F"/>
    <w:rsid w:val="00F85F6D"/>
    <w:rsid w:val="00F925FC"/>
    <w:rsid w:val="00F937C6"/>
    <w:rsid w:val="00F97BF0"/>
    <w:rsid w:val="00FA084A"/>
    <w:rsid w:val="00FA137B"/>
    <w:rsid w:val="00FB1671"/>
    <w:rsid w:val="00FC5DEC"/>
    <w:rsid w:val="00FC7B3F"/>
    <w:rsid w:val="00FD587F"/>
    <w:rsid w:val="00FE0F23"/>
    <w:rsid w:val="00FE47B4"/>
    <w:rsid w:val="00FF6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CA4692"/>
  <w15:chartTrackingRefBased/>
  <w15:docId w15:val="{4C52A0E0-F724-0443-98AD-867EAD60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5EAF"/>
    <w:pPr>
      <w:tabs>
        <w:tab w:val="center" w:pos="4513"/>
        <w:tab w:val="right" w:pos="9026"/>
      </w:tabs>
    </w:pPr>
  </w:style>
  <w:style w:type="character" w:customStyle="1" w:styleId="FooterChar">
    <w:name w:val="Footer Char"/>
    <w:basedOn w:val="DefaultParagraphFont"/>
    <w:link w:val="Footer"/>
    <w:uiPriority w:val="99"/>
    <w:rsid w:val="00105EAF"/>
  </w:style>
  <w:style w:type="character" w:styleId="PageNumber">
    <w:name w:val="page number"/>
    <w:basedOn w:val="DefaultParagraphFont"/>
    <w:uiPriority w:val="99"/>
    <w:semiHidden/>
    <w:unhideWhenUsed/>
    <w:rsid w:val="00105EAF"/>
  </w:style>
  <w:style w:type="paragraph" w:styleId="Header">
    <w:name w:val="header"/>
    <w:basedOn w:val="Normal"/>
    <w:link w:val="HeaderChar"/>
    <w:uiPriority w:val="99"/>
    <w:unhideWhenUsed/>
    <w:rsid w:val="00105EAF"/>
    <w:pPr>
      <w:tabs>
        <w:tab w:val="center" w:pos="4513"/>
        <w:tab w:val="right" w:pos="9026"/>
      </w:tabs>
    </w:pPr>
  </w:style>
  <w:style w:type="character" w:customStyle="1" w:styleId="HeaderChar">
    <w:name w:val="Header Char"/>
    <w:basedOn w:val="DefaultParagraphFont"/>
    <w:link w:val="Header"/>
    <w:uiPriority w:val="99"/>
    <w:rsid w:val="00105EAF"/>
  </w:style>
  <w:style w:type="character" w:customStyle="1" w:styleId="A6">
    <w:name w:val="A6"/>
    <w:uiPriority w:val="99"/>
    <w:rsid w:val="00193904"/>
    <w:rPr>
      <w:rFonts w:cs="Effra Light"/>
      <w:color w:val="000000"/>
      <w:sz w:val="18"/>
      <w:szCs w:val="18"/>
    </w:rPr>
  </w:style>
  <w:style w:type="character" w:customStyle="1" w:styleId="A7">
    <w:name w:val="A7"/>
    <w:uiPriority w:val="99"/>
    <w:rsid w:val="008A1E51"/>
    <w:rPr>
      <w:rFonts w:cs="Effra"/>
      <w:color w:val="000000"/>
      <w:sz w:val="10"/>
      <w:szCs w:val="10"/>
    </w:rPr>
  </w:style>
  <w:style w:type="character" w:customStyle="1" w:styleId="apple-converted-space">
    <w:name w:val="apple-converted-space"/>
    <w:basedOn w:val="DefaultParagraphFont"/>
    <w:rsid w:val="006D3A20"/>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ootnote Text Char1"/>
    <w:basedOn w:val="Normal"/>
    <w:link w:val="FootnoteTextChar"/>
    <w:unhideWhenUsed/>
    <w:qFormat/>
    <w:rsid w:val="00F8400F"/>
    <w:rPr>
      <w:rFonts w:ascii="Times New Roman" w:eastAsia="Times New Roman" w:hAnsi="Times New Roman" w:cs="Times New Roman"/>
      <w:sz w:val="20"/>
      <w:szCs w:val="20"/>
      <w:lang w:eastAsia="en-GB"/>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
    <w:basedOn w:val="DefaultParagraphFont"/>
    <w:link w:val="FootnoteText"/>
    <w:uiPriority w:val="99"/>
    <w:rsid w:val="00F8400F"/>
    <w:rPr>
      <w:rFonts w:ascii="Times New Roman" w:eastAsia="Times New Roman" w:hAnsi="Times New Roman" w:cs="Times New Roman"/>
      <w:sz w:val="20"/>
      <w:szCs w:val="20"/>
      <w:lang w:eastAsia="en-GB"/>
    </w:rPr>
  </w:style>
  <w:style w:type="character" w:styleId="FootnoteReference">
    <w:name w:val="footnote reference"/>
    <w:basedOn w:val="DefaultParagraphFont"/>
    <w:unhideWhenUsed/>
    <w:rsid w:val="00F8400F"/>
    <w:rPr>
      <w:vertAlign w:val="superscript"/>
    </w:rPr>
  </w:style>
  <w:style w:type="paragraph" w:styleId="ListParagraph">
    <w:name w:val="List Paragraph"/>
    <w:basedOn w:val="Normal"/>
    <w:uiPriority w:val="34"/>
    <w:qFormat/>
    <w:rsid w:val="0013549F"/>
    <w:pPr>
      <w:ind w:left="720"/>
      <w:contextualSpacing/>
    </w:pPr>
  </w:style>
  <w:style w:type="character" w:styleId="Hyperlink">
    <w:name w:val="Hyperlink"/>
    <w:basedOn w:val="DefaultParagraphFont"/>
    <w:uiPriority w:val="99"/>
    <w:unhideWhenUsed/>
    <w:rsid w:val="009A765C"/>
    <w:rPr>
      <w:color w:val="0000FF"/>
      <w:u w:val="single"/>
    </w:rPr>
  </w:style>
  <w:style w:type="paragraph" w:styleId="Revision">
    <w:name w:val="Revision"/>
    <w:hidden/>
    <w:uiPriority w:val="99"/>
    <w:semiHidden/>
    <w:rsid w:val="004E7625"/>
  </w:style>
  <w:style w:type="character" w:styleId="CommentReference">
    <w:name w:val="annotation reference"/>
    <w:basedOn w:val="DefaultParagraphFont"/>
    <w:uiPriority w:val="99"/>
    <w:semiHidden/>
    <w:unhideWhenUsed/>
    <w:rsid w:val="004E7625"/>
    <w:rPr>
      <w:sz w:val="16"/>
      <w:szCs w:val="16"/>
    </w:rPr>
  </w:style>
  <w:style w:type="paragraph" w:styleId="CommentText">
    <w:name w:val="annotation text"/>
    <w:basedOn w:val="Normal"/>
    <w:link w:val="CommentTextChar"/>
    <w:uiPriority w:val="99"/>
    <w:semiHidden/>
    <w:unhideWhenUsed/>
    <w:rsid w:val="004E7625"/>
    <w:rPr>
      <w:sz w:val="20"/>
      <w:szCs w:val="20"/>
    </w:rPr>
  </w:style>
  <w:style w:type="character" w:customStyle="1" w:styleId="CommentTextChar">
    <w:name w:val="Comment Text Char"/>
    <w:basedOn w:val="DefaultParagraphFont"/>
    <w:link w:val="CommentText"/>
    <w:uiPriority w:val="99"/>
    <w:semiHidden/>
    <w:rsid w:val="004E7625"/>
    <w:rPr>
      <w:sz w:val="20"/>
      <w:szCs w:val="20"/>
    </w:rPr>
  </w:style>
  <w:style w:type="paragraph" w:styleId="CommentSubject">
    <w:name w:val="annotation subject"/>
    <w:basedOn w:val="CommentText"/>
    <w:next w:val="CommentText"/>
    <w:link w:val="CommentSubjectChar"/>
    <w:uiPriority w:val="99"/>
    <w:semiHidden/>
    <w:unhideWhenUsed/>
    <w:rsid w:val="004E7625"/>
    <w:rPr>
      <w:b/>
      <w:bCs/>
    </w:rPr>
  </w:style>
  <w:style w:type="character" w:customStyle="1" w:styleId="CommentSubjectChar">
    <w:name w:val="Comment Subject Char"/>
    <w:basedOn w:val="CommentTextChar"/>
    <w:link w:val="CommentSubject"/>
    <w:uiPriority w:val="99"/>
    <w:semiHidden/>
    <w:rsid w:val="004E7625"/>
    <w:rPr>
      <w:b/>
      <w:bCs/>
      <w:sz w:val="20"/>
      <w:szCs w:val="20"/>
    </w:rPr>
  </w:style>
  <w:style w:type="character" w:styleId="UnresolvedMention">
    <w:name w:val="Unresolved Mention"/>
    <w:basedOn w:val="DefaultParagraphFont"/>
    <w:uiPriority w:val="99"/>
    <w:semiHidden/>
    <w:unhideWhenUsed/>
    <w:rsid w:val="007663B2"/>
    <w:rPr>
      <w:color w:val="605E5C"/>
      <w:shd w:val="clear" w:color="auto" w:fill="E1DFDD"/>
    </w:rPr>
  </w:style>
  <w:style w:type="character" w:customStyle="1" w:styleId="year">
    <w:name w:val="year"/>
    <w:basedOn w:val="DefaultParagraphFont"/>
    <w:rsid w:val="00645C23"/>
  </w:style>
  <w:style w:type="table" w:styleId="TableGrid">
    <w:name w:val="Table Grid"/>
    <w:basedOn w:val="TableNormal"/>
    <w:uiPriority w:val="39"/>
    <w:rsid w:val="00814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B7AD4"/>
    <w:rPr>
      <w:i/>
      <w:iCs/>
    </w:rPr>
  </w:style>
  <w:style w:type="paragraph" w:customStyle="1" w:styleId="Default">
    <w:name w:val="Default"/>
    <w:rsid w:val="00695ABF"/>
    <w:pPr>
      <w:autoSpaceDE w:val="0"/>
      <w:autoSpaceDN w:val="0"/>
      <w:adjustRightInd w:val="0"/>
    </w:pPr>
    <w:rPr>
      <w:rFonts w:ascii="Code" w:hAnsi="Code" w:cs="Cod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6883">
      <w:bodyDiv w:val="1"/>
      <w:marLeft w:val="0"/>
      <w:marRight w:val="0"/>
      <w:marTop w:val="0"/>
      <w:marBottom w:val="0"/>
      <w:divBdr>
        <w:top w:val="none" w:sz="0" w:space="0" w:color="auto"/>
        <w:left w:val="none" w:sz="0" w:space="0" w:color="auto"/>
        <w:bottom w:val="none" w:sz="0" w:space="0" w:color="auto"/>
        <w:right w:val="none" w:sz="0" w:space="0" w:color="auto"/>
      </w:divBdr>
    </w:div>
    <w:div w:id="264385300">
      <w:bodyDiv w:val="1"/>
      <w:marLeft w:val="0"/>
      <w:marRight w:val="0"/>
      <w:marTop w:val="0"/>
      <w:marBottom w:val="0"/>
      <w:divBdr>
        <w:top w:val="none" w:sz="0" w:space="0" w:color="auto"/>
        <w:left w:val="none" w:sz="0" w:space="0" w:color="auto"/>
        <w:bottom w:val="none" w:sz="0" w:space="0" w:color="auto"/>
        <w:right w:val="none" w:sz="0" w:space="0" w:color="auto"/>
      </w:divBdr>
    </w:div>
    <w:div w:id="266474655">
      <w:bodyDiv w:val="1"/>
      <w:marLeft w:val="0"/>
      <w:marRight w:val="0"/>
      <w:marTop w:val="0"/>
      <w:marBottom w:val="0"/>
      <w:divBdr>
        <w:top w:val="none" w:sz="0" w:space="0" w:color="auto"/>
        <w:left w:val="none" w:sz="0" w:space="0" w:color="auto"/>
        <w:bottom w:val="none" w:sz="0" w:space="0" w:color="auto"/>
        <w:right w:val="none" w:sz="0" w:space="0" w:color="auto"/>
      </w:divBdr>
    </w:div>
    <w:div w:id="326714753">
      <w:bodyDiv w:val="1"/>
      <w:marLeft w:val="0"/>
      <w:marRight w:val="0"/>
      <w:marTop w:val="0"/>
      <w:marBottom w:val="0"/>
      <w:divBdr>
        <w:top w:val="none" w:sz="0" w:space="0" w:color="auto"/>
        <w:left w:val="none" w:sz="0" w:space="0" w:color="auto"/>
        <w:bottom w:val="none" w:sz="0" w:space="0" w:color="auto"/>
        <w:right w:val="none" w:sz="0" w:space="0" w:color="auto"/>
      </w:divBdr>
    </w:div>
    <w:div w:id="327639822">
      <w:bodyDiv w:val="1"/>
      <w:marLeft w:val="0"/>
      <w:marRight w:val="0"/>
      <w:marTop w:val="0"/>
      <w:marBottom w:val="0"/>
      <w:divBdr>
        <w:top w:val="none" w:sz="0" w:space="0" w:color="auto"/>
        <w:left w:val="none" w:sz="0" w:space="0" w:color="auto"/>
        <w:bottom w:val="none" w:sz="0" w:space="0" w:color="auto"/>
        <w:right w:val="none" w:sz="0" w:space="0" w:color="auto"/>
      </w:divBdr>
      <w:divsChild>
        <w:div w:id="729233602">
          <w:marLeft w:val="0"/>
          <w:marRight w:val="0"/>
          <w:marTop w:val="0"/>
          <w:marBottom w:val="0"/>
          <w:divBdr>
            <w:top w:val="none" w:sz="0" w:space="0" w:color="auto"/>
            <w:left w:val="none" w:sz="0" w:space="0" w:color="auto"/>
            <w:bottom w:val="none" w:sz="0" w:space="0" w:color="auto"/>
            <w:right w:val="none" w:sz="0" w:space="0" w:color="auto"/>
          </w:divBdr>
          <w:divsChild>
            <w:div w:id="1571767892">
              <w:marLeft w:val="0"/>
              <w:marRight w:val="0"/>
              <w:marTop w:val="0"/>
              <w:marBottom w:val="0"/>
              <w:divBdr>
                <w:top w:val="none" w:sz="0" w:space="0" w:color="auto"/>
                <w:left w:val="none" w:sz="0" w:space="0" w:color="auto"/>
                <w:bottom w:val="none" w:sz="0" w:space="0" w:color="auto"/>
                <w:right w:val="none" w:sz="0" w:space="0" w:color="auto"/>
              </w:divBdr>
              <w:divsChild>
                <w:div w:id="5872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6851">
      <w:bodyDiv w:val="1"/>
      <w:marLeft w:val="0"/>
      <w:marRight w:val="0"/>
      <w:marTop w:val="0"/>
      <w:marBottom w:val="0"/>
      <w:divBdr>
        <w:top w:val="none" w:sz="0" w:space="0" w:color="auto"/>
        <w:left w:val="none" w:sz="0" w:space="0" w:color="auto"/>
        <w:bottom w:val="none" w:sz="0" w:space="0" w:color="auto"/>
        <w:right w:val="none" w:sz="0" w:space="0" w:color="auto"/>
      </w:divBdr>
    </w:div>
    <w:div w:id="476580444">
      <w:bodyDiv w:val="1"/>
      <w:marLeft w:val="0"/>
      <w:marRight w:val="0"/>
      <w:marTop w:val="0"/>
      <w:marBottom w:val="0"/>
      <w:divBdr>
        <w:top w:val="none" w:sz="0" w:space="0" w:color="auto"/>
        <w:left w:val="none" w:sz="0" w:space="0" w:color="auto"/>
        <w:bottom w:val="none" w:sz="0" w:space="0" w:color="auto"/>
        <w:right w:val="none" w:sz="0" w:space="0" w:color="auto"/>
      </w:divBdr>
      <w:divsChild>
        <w:div w:id="1216812094">
          <w:marLeft w:val="0"/>
          <w:marRight w:val="0"/>
          <w:marTop w:val="0"/>
          <w:marBottom w:val="0"/>
          <w:divBdr>
            <w:top w:val="none" w:sz="0" w:space="0" w:color="auto"/>
            <w:left w:val="none" w:sz="0" w:space="0" w:color="auto"/>
            <w:bottom w:val="none" w:sz="0" w:space="0" w:color="auto"/>
            <w:right w:val="none" w:sz="0" w:space="0" w:color="auto"/>
          </w:divBdr>
          <w:divsChild>
            <w:div w:id="1194418848">
              <w:marLeft w:val="0"/>
              <w:marRight w:val="0"/>
              <w:marTop w:val="0"/>
              <w:marBottom w:val="0"/>
              <w:divBdr>
                <w:top w:val="none" w:sz="0" w:space="0" w:color="auto"/>
                <w:left w:val="none" w:sz="0" w:space="0" w:color="auto"/>
                <w:bottom w:val="none" w:sz="0" w:space="0" w:color="auto"/>
                <w:right w:val="none" w:sz="0" w:space="0" w:color="auto"/>
              </w:divBdr>
              <w:divsChild>
                <w:div w:id="9597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4389">
      <w:bodyDiv w:val="1"/>
      <w:marLeft w:val="0"/>
      <w:marRight w:val="0"/>
      <w:marTop w:val="0"/>
      <w:marBottom w:val="0"/>
      <w:divBdr>
        <w:top w:val="none" w:sz="0" w:space="0" w:color="auto"/>
        <w:left w:val="none" w:sz="0" w:space="0" w:color="auto"/>
        <w:bottom w:val="none" w:sz="0" w:space="0" w:color="auto"/>
        <w:right w:val="none" w:sz="0" w:space="0" w:color="auto"/>
      </w:divBdr>
    </w:div>
    <w:div w:id="570310000">
      <w:bodyDiv w:val="1"/>
      <w:marLeft w:val="0"/>
      <w:marRight w:val="0"/>
      <w:marTop w:val="0"/>
      <w:marBottom w:val="0"/>
      <w:divBdr>
        <w:top w:val="none" w:sz="0" w:space="0" w:color="auto"/>
        <w:left w:val="none" w:sz="0" w:space="0" w:color="auto"/>
        <w:bottom w:val="none" w:sz="0" w:space="0" w:color="auto"/>
        <w:right w:val="none" w:sz="0" w:space="0" w:color="auto"/>
      </w:divBdr>
      <w:divsChild>
        <w:div w:id="1378091736">
          <w:marLeft w:val="0"/>
          <w:marRight w:val="0"/>
          <w:marTop w:val="0"/>
          <w:marBottom w:val="0"/>
          <w:divBdr>
            <w:top w:val="none" w:sz="0" w:space="0" w:color="auto"/>
            <w:left w:val="none" w:sz="0" w:space="0" w:color="auto"/>
            <w:bottom w:val="none" w:sz="0" w:space="0" w:color="auto"/>
            <w:right w:val="none" w:sz="0" w:space="0" w:color="auto"/>
          </w:divBdr>
          <w:divsChild>
            <w:div w:id="1950165934">
              <w:marLeft w:val="0"/>
              <w:marRight w:val="0"/>
              <w:marTop w:val="0"/>
              <w:marBottom w:val="0"/>
              <w:divBdr>
                <w:top w:val="none" w:sz="0" w:space="0" w:color="auto"/>
                <w:left w:val="none" w:sz="0" w:space="0" w:color="auto"/>
                <w:bottom w:val="none" w:sz="0" w:space="0" w:color="auto"/>
                <w:right w:val="none" w:sz="0" w:space="0" w:color="auto"/>
              </w:divBdr>
              <w:divsChild>
                <w:div w:id="1602180729">
                  <w:marLeft w:val="0"/>
                  <w:marRight w:val="0"/>
                  <w:marTop w:val="0"/>
                  <w:marBottom w:val="0"/>
                  <w:divBdr>
                    <w:top w:val="none" w:sz="0" w:space="0" w:color="auto"/>
                    <w:left w:val="none" w:sz="0" w:space="0" w:color="auto"/>
                    <w:bottom w:val="none" w:sz="0" w:space="0" w:color="auto"/>
                    <w:right w:val="none" w:sz="0" w:space="0" w:color="auto"/>
                  </w:divBdr>
                  <w:divsChild>
                    <w:div w:id="24152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770">
      <w:bodyDiv w:val="1"/>
      <w:marLeft w:val="0"/>
      <w:marRight w:val="0"/>
      <w:marTop w:val="0"/>
      <w:marBottom w:val="0"/>
      <w:divBdr>
        <w:top w:val="none" w:sz="0" w:space="0" w:color="auto"/>
        <w:left w:val="none" w:sz="0" w:space="0" w:color="auto"/>
        <w:bottom w:val="none" w:sz="0" w:space="0" w:color="auto"/>
        <w:right w:val="none" w:sz="0" w:space="0" w:color="auto"/>
      </w:divBdr>
    </w:div>
    <w:div w:id="833953763">
      <w:bodyDiv w:val="1"/>
      <w:marLeft w:val="0"/>
      <w:marRight w:val="0"/>
      <w:marTop w:val="0"/>
      <w:marBottom w:val="0"/>
      <w:divBdr>
        <w:top w:val="none" w:sz="0" w:space="0" w:color="auto"/>
        <w:left w:val="none" w:sz="0" w:space="0" w:color="auto"/>
        <w:bottom w:val="none" w:sz="0" w:space="0" w:color="auto"/>
        <w:right w:val="none" w:sz="0" w:space="0" w:color="auto"/>
      </w:divBdr>
      <w:divsChild>
        <w:div w:id="1380740284">
          <w:marLeft w:val="0"/>
          <w:marRight w:val="0"/>
          <w:marTop w:val="100"/>
          <w:marBottom w:val="100"/>
          <w:divBdr>
            <w:top w:val="none" w:sz="0" w:space="0" w:color="auto"/>
            <w:left w:val="none" w:sz="0" w:space="0" w:color="auto"/>
            <w:bottom w:val="none" w:sz="0" w:space="0" w:color="auto"/>
            <w:right w:val="none" w:sz="0" w:space="0" w:color="auto"/>
          </w:divBdr>
        </w:div>
        <w:div w:id="220486130">
          <w:marLeft w:val="0"/>
          <w:marRight w:val="0"/>
          <w:marTop w:val="100"/>
          <w:marBottom w:val="100"/>
          <w:divBdr>
            <w:top w:val="none" w:sz="0" w:space="0" w:color="auto"/>
            <w:left w:val="none" w:sz="0" w:space="0" w:color="auto"/>
            <w:bottom w:val="none" w:sz="0" w:space="0" w:color="auto"/>
            <w:right w:val="none" w:sz="0" w:space="0" w:color="auto"/>
          </w:divBdr>
        </w:div>
      </w:divsChild>
    </w:div>
    <w:div w:id="882521328">
      <w:bodyDiv w:val="1"/>
      <w:marLeft w:val="0"/>
      <w:marRight w:val="0"/>
      <w:marTop w:val="0"/>
      <w:marBottom w:val="0"/>
      <w:divBdr>
        <w:top w:val="none" w:sz="0" w:space="0" w:color="auto"/>
        <w:left w:val="none" w:sz="0" w:space="0" w:color="auto"/>
        <w:bottom w:val="none" w:sz="0" w:space="0" w:color="auto"/>
        <w:right w:val="none" w:sz="0" w:space="0" w:color="auto"/>
      </w:divBdr>
    </w:div>
    <w:div w:id="1030909772">
      <w:bodyDiv w:val="1"/>
      <w:marLeft w:val="0"/>
      <w:marRight w:val="0"/>
      <w:marTop w:val="0"/>
      <w:marBottom w:val="0"/>
      <w:divBdr>
        <w:top w:val="none" w:sz="0" w:space="0" w:color="auto"/>
        <w:left w:val="none" w:sz="0" w:space="0" w:color="auto"/>
        <w:bottom w:val="none" w:sz="0" w:space="0" w:color="auto"/>
        <w:right w:val="none" w:sz="0" w:space="0" w:color="auto"/>
      </w:divBdr>
    </w:div>
    <w:div w:id="1126775621">
      <w:bodyDiv w:val="1"/>
      <w:marLeft w:val="0"/>
      <w:marRight w:val="0"/>
      <w:marTop w:val="0"/>
      <w:marBottom w:val="0"/>
      <w:divBdr>
        <w:top w:val="none" w:sz="0" w:space="0" w:color="auto"/>
        <w:left w:val="none" w:sz="0" w:space="0" w:color="auto"/>
        <w:bottom w:val="none" w:sz="0" w:space="0" w:color="auto"/>
        <w:right w:val="none" w:sz="0" w:space="0" w:color="auto"/>
      </w:divBdr>
      <w:divsChild>
        <w:div w:id="1728914016">
          <w:marLeft w:val="-150"/>
          <w:marRight w:val="0"/>
          <w:marTop w:val="0"/>
          <w:marBottom w:val="90"/>
          <w:divBdr>
            <w:top w:val="none" w:sz="0" w:space="0" w:color="auto"/>
            <w:left w:val="none" w:sz="0" w:space="0" w:color="auto"/>
            <w:bottom w:val="none" w:sz="0" w:space="0" w:color="auto"/>
            <w:right w:val="none" w:sz="0" w:space="0" w:color="auto"/>
          </w:divBdr>
          <w:divsChild>
            <w:div w:id="9388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83655">
      <w:bodyDiv w:val="1"/>
      <w:marLeft w:val="0"/>
      <w:marRight w:val="0"/>
      <w:marTop w:val="0"/>
      <w:marBottom w:val="0"/>
      <w:divBdr>
        <w:top w:val="none" w:sz="0" w:space="0" w:color="auto"/>
        <w:left w:val="none" w:sz="0" w:space="0" w:color="auto"/>
        <w:bottom w:val="none" w:sz="0" w:space="0" w:color="auto"/>
        <w:right w:val="none" w:sz="0" w:space="0" w:color="auto"/>
      </w:divBdr>
      <w:divsChild>
        <w:div w:id="1245258936">
          <w:marLeft w:val="-150"/>
          <w:marRight w:val="0"/>
          <w:marTop w:val="0"/>
          <w:marBottom w:val="90"/>
          <w:divBdr>
            <w:top w:val="none" w:sz="0" w:space="0" w:color="auto"/>
            <w:left w:val="none" w:sz="0" w:space="0" w:color="auto"/>
            <w:bottom w:val="none" w:sz="0" w:space="0" w:color="auto"/>
            <w:right w:val="none" w:sz="0" w:space="0" w:color="auto"/>
          </w:divBdr>
          <w:divsChild>
            <w:div w:id="63676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34218">
      <w:bodyDiv w:val="1"/>
      <w:marLeft w:val="0"/>
      <w:marRight w:val="0"/>
      <w:marTop w:val="0"/>
      <w:marBottom w:val="0"/>
      <w:divBdr>
        <w:top w:val="none" w:sz="0" w:space="0" w:color="auto"/>
        <w:left w:val="none" w:sz="0" w:space="0" w:color="auto"/>
        <w:bottom w:val="none" w:sz="0" w:space="0" w:color="auto"/>
        <w:right w:val="none" w:sz="0" w:space="0" w:color="auto"/>
      </w:divBdr>
    </w:div>
    <w:div w:id="1508399989">
      <w:bodyDiv w:val="1"/>
      <w:marLeft w:val="0"/>
      <w:marRight w:val="0"/>
      <w:marTop w:val="0"/>
      <w:marBottom w:val="0"/>
      <w:divBdr>
        <w:top w:val="none" w:sz="0" w:space="0" w:color="auto"/>
        <w:left w:val="none" w:sz="0" w:space="0" w:color="auto"/>
        <w:bottom w:val="none" w:sz="0" w:space="0" w:color="auto"/>
        <w:right w:val="none" w:sz="0" w:space="0" w:color="auto"/>
      </w:divBdr>
      <w:divsChild>
        <w:div w:id="236863972">
          <w:marLeft w:val="0"/>
          <w:marRight w:val="0"/>
          <w:marTop w:val="0"/>
          <w:marBottom w:val="0"/>
          <w:divBdr>
            <w:top w:val="none" w:sz="0" w:space="0" w:color="auto"/>
            <w:left w:val="none" w:sz="0" w:space="0" w:color="auto"/>
            <w:bottom w:val="none" w:sz="0" w:space="0" w:color="auto"/>
            <w:right w:val="none" w:sz="0" w:space="0" w:color="auto"/>
          </w:divBdr>
          <w:divsChild>
            <w:div w:id="1218736049">
              <w:marLeft w:val="0"/>
              <w:marRight w:val="0"/>
              <w:marTop w:val="0"/>
              <w:marBottom w:val="0"/>
              <w:divBdr>
                <w:top w:val="none" w:sz="0" w:space="0" w:color="auto"/>
                <w:left w:val="none" w:sz="0" w:space="0" w:color="auto"/>
                <w:bottom w:val="none" w:sz="0" w:space="0" w:color="auto"/>
                <w:right w:val="none" w:sz="0" w:space="0" w:color="auto"/>
              </w:divBdr>
              <w:divsChild>
                <w:div w:id="425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8446">
      <w:bodyDiv w:val="1"/>
      <w:marLeft w:val="0"/>
      <w:marRight w:val="0"/>
      <w:marTop w:val="0"/>
      <w:marBottom w:val="0"/>
      <w:divBdr>
        <w:top w:val="none" w:sz="0" w:space="0" w:color="auto"/>
        <w:left w:val="none" w:sz="0" w:space="0" w:color="auto"/>
        <w:bottom w:val="none" w:sz="0" w:space="0" w:color="auto"/>
        <w:right w:val="none" w:sz="0" w:space="0" w:color="auto"/>
      </w:divBdr>
    </w:div>
    <w:div w:id="1747455005">
      <w:bodyDiv w:val="1"/>
      <w:marLeft w:val="0"/>
      <w:marRight w:val="0"/>
      <w:marTop w:val="0"/>
      <w:marBottom w:val="0"/>
      <w:divBdr>
        <w:top w:val="none" w:sz="0" w:space="0" w:color="auto"/>
        <w:left w:val="none" w:sz="0" w:space="0" w:color="auto"/>
        <w:bottom w:val="none" w:sz="0" w:space="0" w:color="auto"/>
        <w:right w:val="none" w:sz="0" w:space="0" w:color="auto"/>
      </w:divBdr>
      <w:divsChild>
        <w:div w:id="1690832846">
          <w:marLeft w:val="0"/>
          <w:marRight w:val="0"/>
          <w:marTop w:val="0"/>
          <w:marBottom w:val="0"/>
          <w:divBdr>
            <w:top w:val="none" w:sz="0" w:space="0" w:color="auto"/>
            <w:left w:val="none" w:sz="0" w:space="0" w:color="auto"/>
            <w:bottom w:val="none" w:sz="0" w:space="0" w:color="auto"/>
            <w:right w:val="none" w:sz="0" w:space="0" w:color="auto"/>
          </w:divBdr>
          <w:divsChild>
            <w:div w:id="117183649">
              <w:marLeft w:val="0"/>
              <w:marRight w:val="0"/>
              <w:marTop w:val="0"/>
              <w:marBottom w:val="0"/>
              <w:divBdr>
                <w:top w:val="none" w:sz="0" w:space="0" w:color="auto"/>
                <w:left w:val="none" w:sz="0" w:space="0" w:color="auto"/>
                <w:bottom w:val="none" w:sz="0" w:space="0" w:color="auto"/>
                <w:right w:val="none" w:sz="0" w:space="0" w:color="auto"/>
              </w:divBdr>
              <w:divsChild>
                <w:div w:id="13270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30301">
      <w:bodyDiv w:val="1"/>
      <w:marLeft w:val="0"/>
      <w:marRight w:val="0"/>
      <w:marTop w:val="0"/>
      <w:marBottom w:val="0"/>
      <w:divBdr>
        <w:top w:val="none" w:sz="0" w:space="0" w:color="auto"/>
        <w:left w:val="none" w:sz="0" w:space="0" w:color="auto"/>
        <w:bottom w:val="none" w:sz="0" w:space="0" w:color="auto"/>
        <w:right w:val="none" w:sz="0" w:space="0" w:color="auto"/>
      </w:divBdr>
    </w:div>
    <w:div w:id="1921866958">
      <w:bodyDiv w:val="1"/>
      <w:marLeft w:val="0"/>
      <w:marRight w:val="0"/>
      <w:marTop w:val="0"/>
      <w:marBottom w:val="0"/>
      <w:divBdr>
        <w:top w:val="none" w:sz="0" w:space="0" w:color="auto"/>
        <w:left w:val="none" w:sz="0" w:space="0" w:color="auto"/>
        <w:bottom w:val="none" w:sz="0" w:space="0" w:color="auto"/>
        <w:right w:val="none" w:sz="0" w:space="0" w:color="auto"/>
      </w:divBdr>
    </w:div>
    <w:div w:id="1973363439">
      <w:bodyDiv w:val="1"/>
      <w:marLeft w:val="0"/>
      <w:marRight w:val="0"/>
      <w:marTop w:val="0"/>
      <w:marBottom w:val="0"/>
      <w:divBdr>
        <w:top w:val="none" w:sz="0" w:space="0" w:color="auto"/>
        <w:left w:val="none" w:sz="0" w:space="0" w:color="auto"/>
        <w:bottom w:val="none" w:sz="0" w:space="0" w:color="auto"/>
        <w:right w:val="none" w:sz="0" w:space="0" w:color="auto"/>
      </w:divBdr>
    </w:div>
    <w:div w:id="1988775396">
      <w:bodyDiv w:val="1"/>
      <w:marLeft w:val="0"/>
      <w:marRight w:val="0"/>
      <w:marTop w:val="0"/>
      <w:marBottom w:val="0"/>
      <w:divBdr>
        <w:top w:val="none" w:sz="0" w:space="0" w:color="auto"/>
        <w:left w:val="none" w:sz="0" w:space="0" w:color="auto"/>
        <w:bottom w:val="none" w:sz="0" w:space="0" w:color="auto"/>
        <w:right w:val="none" w:sz="0" w:space="0" w:color="auto"/>
      </w:divBdr>
    </w:div>
    <w:div w:id="211500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uk/sisterhood/articles/womens-liberation-a-national-movement" TargetMode="External"/><Relationship Id="rId2" Type="http://schemas.openxmlformats.org/officeDocument/2006/relationships/hyperlink" Target="https://criticaljudgments.com" TargetMode="External"/><Relationship Id="rId1" Type="http://schemas.openxmlformats.org/officeDocument/2006/relationships/hyperlink" Target="mailto:e.rackley@kent.ac.uk" TargetMode="External"/><Relationship Id="rId4" Type="http://schemas.openxmlformats.org/officeDocument/2006/relationships/hyperlink" Target="http://ukconstitutionallaw.org"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6EBE-29EE-F64B-A2C4-CC8DFD25E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25</Pages>
  <Words>9360</Words>
  <Characters>46894</Characters>
  <Application>Microsoft Office Word</Application>
  <DocSecurity>0</DocSecurity>
  <Lines>633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Rackley</dc:creator>
  <cp:keywords/>
  <dc:description/>
  <cp:lastModifiedBy>Erika Rackley</cp:lastModifiedBy>
  <cp:revision>12</cp:revision>
  <dcterms:created xsi:type="dcterms:W3CDTF">2023-07-06T08:41:00Z</dcterms:created>
  <dcterms:modified xsi:type="dcterms:W3CDTF">2023-07-07T09:49:00Z</dcterms:modified>
</cp:coreProperties>
</file>